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076B25" w14:textId="51A05964" w:rsidR="004F4425" w:rsidRPr="004C20EC" w:rsidRDefault="004F4425" w:rsidP="004F4425">
      <w:pPr>
        <w:pStyle w:val="a3"/>
        <w:tabs>
          <w:tab w:val="right" w:pos="9923"/>
        </w:tabs>
        <w:ind w:right="-7"/>
        <w:rPr>
          <w:rFonts w:asciiTheme="minorHAnsi" w:hAnsiTheme="minorHAnsi" w:cstheme="minorHAnsi"/>
          <w:bCs/>
          <w:i/>
          <w:noProof w:val="0"/>
          <w:sz w:val="32"/>
          <w:lang w:eastAsia="ja-JP"/>
        </w:rPr>
      </w:pPr>
      <w:r w:rsidRPr="004C20EC">
        <w:rPr>
          <w:rFonts w:asciiTheme="minorHAnsi" w:hAnsiTheme="minorHAnsi" w:cstheme="minorHAnsi"/>
          <w:bCs/>
          <w:noProof w:val="0"/>
          <w:sz w:val="24"/>
        </w:rPr>
        <w:t>3GPP T</w:t>
      </w:r>
      <w:bookmarkStart w:id="0" w:name="_Ref452454252"/>
      <w:bookmarkEnd w:id="0"/>
      <w:r w:rsidRPr="004C20EC">
        <w:rPr>
          <w:rFonts w:asciiTheme="minorHAnsi" w:hAnsiTheme="minorHAnsi" w:cstheme="minorHAnsi"/>
          <w:bCs/>
          <w:noProof w:val="0"/>
          <w:sz w:val="24"/>
        </w:rPr>
        <w:t>SG-</w:t>
      </w:r>
      <w:r w:rsidRPr="004C20EC">
        <w:rPr>
          <w:rFonts w:asciiTheme="minorHAnsi" w:hAnsiTheme="minorHAnsi" w:cstheme="minorHAnsi"/>
          <w:bCs/>
          <w:noProof w:val="0"/>
          <w:sz w:val="24"/>
          <w:szCs w:val="24"/>
        </w:rPr>
        <w:t xml:space="preserve">RAN </w:t>
      </w:r>
      <w:r w:rsidRPr="004C20EC">
        <w:rPr>
          <w:rFonts w:asciiTheme="minorHAnsi" w:hAnsiTheme="minorHAnsi" w:cstheme="minorHAnsi"/>
          <w:noProof w:val="0"/>
          <w:sz w:val="24"/>
          <w:szCs w:val="24"/>
        </w:rPr>
        <w:t xml:space="preserve">WG3 Meeting </w:t>
      </w:r>
      <w:r w:rsidR="005F6E30">
        <w:rPr>
          <w:rFonts w:asciiTheme="minorHAnsi" w:hAnsiTheme="minorHAnsi" w:cstheme="minorHAnsi"/>
          <w:noProof w:val="0"/>
          <w:sz w:val="24"/>
          <w:szCs w:val="24"/>
        </w:rPr>
        <w:t>#</w:t>
      </w:r>
      <w:r w:rsidR="00E5568E">
        <w:rPr>
          <w:rFonts w:asciiTheme="minorHAnsi" w:hAnsiTheme="minorHAnsi" w:cstheme="minorHAnsi"/>
          <w:noProof w:val="0"/>
          <w:sz w:val="24"/>
          <w:szCs w:val="24"/>
        </w:rPr>
        <w:t>1</w:t>
      </w:r>
      <w:r w:rsidR="00DA1A8A">
        <w:rPr>
          <w:rFonts w:asciiTheme="minorHAnsi" w:hAnsiTheme="minorHAnsi" w:cstheme="minorHAnsi"/>
          <w:noProof w:val="0"/>
          <w:sz w:val="24"/>
          <w:szCs w:val="24"/>
        </w:rPr>
        <w:t>20</w:t>
      </w:r>
      <w:r w:rsidRPr="004C20EC">
        <w:rPr>
          <w:rFonts w:asciiTheme="minorHAnsi" w:hAnsiTheme="minorHAnsi" w:cstheme="minorHAnsi"/>
          <w:bCs/>
          <w:noProof w:val="0"/>
          <w:sz w:val="24"/>
        </w:rPr>
        <w:tab/>
      </w:r>
      <w:r w:rsidRPr="004C20EC">
        <w:rPr>
          <w:rFonts w:asciiTheme="minorHAnsi" w:hAnsiTheme="minorHAnsi" w:cstheme="minorHAnsi"/>
          <w:bCs/>
          <w:noProof w:val="0"/>
          <w:sz w:val="24"/>
          <w:lang w:eastAsia="ja-JP"/>
        </w:rPr>
        <w:t>R3-</w:t>
      </w:r>
      <w:r w:rsidR="00E06D60" w:rsidRPr="00E06D60">
        <w:rPr>
          <w:rFonts w:asciiTheme="minorHAnsi" w:hAnsiTheme="minorHAnsi" w:cstheme="minorHAnsi"/>
          <w:bCs/>
          <w:noProof w:val="0"/>
          <w:sz w:val="24"/>
          <w:lang w:eastAsia="ja-JP"/>
        </w:rPr>
        <w:t>232737</w:t>
      </w:r>
    </w:p>
    <w:p w14:paraId="0181CEA3" w14:textId="0B5A9D7E" w:rsidR="00DA1A8A" w:rsidRDefault="00DA1A8A" w:rsidP="00DA1A8A">
      <w:pPr>
        <w:tabs>
          <w:tab w:val="center" w:pos="4153"/>
          <w:tab w:val="right" w:pos="8306"/>
        </w:tabs>
        <w:spacing w:after="0"/>
        <w:jc w:val="both"/>
        <w:rPr>
          <w:rFonts w:eastAsia="Times New Roman" w:cs="Arial"/>
          <w:b/>
          <w:bCs/>
          <w:sz w:val="24"/>
          <w:szCs w:val="24"/>
          <w:lang w:val="en-US" w:eastAsia="zh-CN"/>
        </w:rPr>
      </w:pPr>
      <w:r>
        <w:rPr>
          <w:rFonts w:eastAsia="宋体" w:cs="Arial"/>
          <w:b/>
          <w:sz w:val="24"/>
          <w:lang w:val="en-US" w:eastAsia="zh-CN"/>
        </w:rPr>
        <w:t xml:space="preserve">Incheon, </w:t>
      </w:r>
      <w:r w:rsidR="00DF01C7">
        <w:rPr>
          <w:rFonts w:eastAsia="宋体" w:cs="Arial"/>
          <w:b/>
          <w:sz w:val="24"/>
          <w:lang w:val="en-US" w:eastAsia="zh-CN"/>
        </w:rPr>
        <w:t>Korea</w:t>
      </w:r>
      <w:r>
        <w:rPr>
          <w:rFonts w:eastAsia="宋体" w:cs="Arial"/>
          <w:b/>
          <w:sz w:val="24"/>
          <w:lang w:val="en-US" w:eastAsia="zh-CN"/>
        </w:rPr>
        <w:t>, May 22-26, 2023</w:t>
      </w:r>
    </w:p>
    <w:p w14:paraId="0C4B67AF" w14:textId="77777777" w:rsidR="00501135" w:rsidRPr="004C20EC" w:rsidRDefault="00501135">
      <w:pPr>
        <w:pStyle w:val="a3"/>
        <w:rPr>
          <w:rFonts w:asciiTheme="minorHAnsi" w:hAnsiTheme="minorHAnsi" w:cstheme="minorHAnsi"/>
          <w:bCs/>
          <w:noProof w:val="0"/>
          <w:sz w:val="24"/>
          <w:lang w:val="en-GB" w:eastAsia="ja-JP"/>
        </w:rPr>
      </w:pPr>
    </w:p>
    <w:p w14:paraId="43D56084" w14:textId="5F000D47" w:rsidR="00501135" w:rsidRPr="004C20EC" w:rsidRDefault="008A4C1D">
      <w:pPr>
        <w:pStyle w:val="CRCoverPage"/>
        <w:tabs>
          <w:tab w:val="left" w:pos="1985"/>
        </w:tabs>
        <w:rPr>
          <w:rFonts w:asciiTheme="minorHAnsi" w:hAnsiTheme="minorHAnsi" w:cstheme="minorHAnsi"/>
          <w:b/>
          <w:bCs/>
          <w:color w:val="000000"/>
          <w:sz w:val="24"/>
          <w:szCs w:val="24"/>
          <w:lang w:val="en-US" w:eastAsia="ja-JP"/>
        </w:rPr>
      </w:pPr>
      <w:r w:rsidRPr="004C20EC">
        <w:rPr>
          <w:rFonts w:asciiTheme="minorHAnsi" w:hAnsiTheme="minorHAnsi" w:cstheme="minorHAnsi"/>
          <w:b/>
          <w:bCs/>
          <w:color w:val="000000"/>
          <w:sz w:val="24"/>
          <w:szCs w:val="24"/>
          <w:lang w:val="en-US"/>
        </w:rPr>
        <w:t>Agenda I</w:t>
      </w:r>
      <w:r w:rsidR="00501135" w:rsidRPr="004C20EC">
        <w:rPr>
          <w:rFonts w:asciiTheme="minorHAnsi" w:hAnsiTheme="minorHAnsi" w:cstheme="minorHAnsi"/>
          <w:b/>
          <w:bCs/>
          <w:color w:val="000000"/>
          <w:sz w:val="24"/>
          <w:szCs w:val="24"/>
          <w:lang w:val="en-US"/>
        </w:rPr>
        <w:t>tem:</w:t>
      </w:r>
      <w:r w:rsidR="00501135" w:rsidRPr="004C20EC">
        <w:rPr>
          <w:rFonts w:asciiTheme="minorHAnsi" w:hAnsiTheme="minorHAnsi" w:cstheme="minorHAnsi"/>
          <w:b/>
          <w:bCs/>
          <w:color w:val="000000"/>
          <w:sz w:val="24"/>
          <w:szCs w:val="24"/>
          <w:lang w:val="en-US"/>
        </w:rPr>
        <w:tab/>
      </w:r>
      <w:r w:rsidR="002B0CFE">
        <w:rPr>
          <w:rFonts w:asciiTheme="minorHAnsi" w:hAnsiTheme="minorHAnsi" w:cstheme="minorHAnsi"/>
          <w:b/>
          <w:bCs/>
          <w:color w:val="000000"/>
          <w:sz w:val="24"/>
          <w:szCs w:val="24"/>
          <w:lang w:val="en-US"/>
        </w:rPr>
        <w:t>10.2.2</w:t>
      </w:r>
    </w:p>
    <w:p w14:paraId="6BE48DC7" w14:textId="2CFB3C60" w:rsidR="00501135" w:rsidRPr="004C20EC" w:rsidRDefault="00501135" w:rsidP="00954330">
      <w:pPr>
        <w:tabs>
          <w:tab w:val="left" w:pos="1985"/>
        </w:tabs>
        <w:ind w:left="1985" w:hanging="1985"/>
        <w:rPr>
          <w:rFonts w:asciiTheme="minorHAnsi" w:hAnsiTheme="minorHAnsi" w:cstheme="minorHAnsi"/>
          <w:b/>
          <w:bCs/>
          <w:sz w:val="24"/>
          <w:lang w:val="en-US" w:eastAsia="ja-JP"/>
        </w:rPr>
      </w:pPr>
      <w:r w:rsidRPr="004C20EC">
        <w:rPr>
          <w:rFonts w:asciiTheme="minorHAnsi" w:hAnsiTheme="minorHAnsi" w:cstheme="minorHAnsi"/>
          <w:b/>
          <w:bCs/>
          <w:sz w:val="24"/>
          <w:lang w:val="en-US"/>
        </w:rPr>
        <w:t>Source:</w:t>
      </w:r>
      <w:r w:rsidRPr="004C20EC">
        <w:rPr>
          <w:rFonts w:asciiTheme="minorHAnsi" w:hAnsiTheme="minorHAnsi" w:cstheme="minorHAnsi"/>
          <w:b/>
          <w:bCs/>
          <w:sz w:val="24"/>
          <w:lang w:val="en-US"/>
        </w:rPr>
        <w:tab/>
      </w:r>
      <w:r w:rsidR="00F120DD" w:rsidRPr="004C20EC">
        <w:rPr>
          <w:rFonts w:asciiTheme="minorHAnsi" w:hAnsiTheme="minorHAnsi" w:cstheme="minorHAnsi"/>
          <w:b/>
          <w:bCs/>
          <w:sz w:val="24"/>
          <w:lang w:val="en-US"/>
        </w:rPr>
        <w:t>NEC</w:t>
      </w:r>
    </w:p>
    <w:p w14:paraId="3A2005BA" w14:textId="16CAF430" w:rsidR="00501135" w:rsidRPr="002B0CFE" w:rsidRDefault="00501135">
      <w:pPr>
        <w:ind w:left="1985" w:hanging="1985"/>
        <w:rPr>
          <w:rFonts w:asciiTheme="minorHAnsi" w:hAnsiTheme="minorHAnsi" w:cstheme="minorHAnsi"/>
          <w:b/>
          <w:color w:val="000000"/>
          <w:sz w:val="24"/>
          <w:szCs w:val="24"/>
          <w:lang w:val="en-US" w:eastAsia="ja-JP"/>
        </w:rPr>
      </w:pPr>
      <w:r w:rsidRPr="004C20EC">
        <w:rPr>
          <w:rFonts w:asciiTheme="minorHAnsi" w:hAnsiTheme="minorHAnsi" w:cstheme="minorHAnsi"/>
          <w:b/>
          <w:bCs/>
          <w:color w:val="000000"/>
          <w:sz w:val="24"/>
          <w:szCs w:val="24"/>
        </w:rPr>
        <w:t>Title:</w:t>
      </w:r>
      <w:r w:rsidRPr="004C20EC">
        <w:rPr>
          <w:rFonts w:asciiTheme="minorHAnsi" w:hAnsiTheme="minorHAnsi" w:cstheme="minorHAnsi"/>
          <w:b/>
          <w:bCs/>
          <w:color w:val="000000"/>
          <w:sz w:val="24"/>
          <w:szCs w:val="24"/>
        </w:rPr>
        <w:tab/>
      </w:r>
      <w:r w:rsidR="002B0CFE" w:rsidRPr="002B0CFE">
        <w:rPr>
          <w:rFonts w:asciiTheme="minorHAnsi" w:hAnsiTheme="minorHAnsi" w:cstheme="minorHAnsi"/>
          <w:b/>
          <w:bCs/>
          <w:sz w:val="24"/>
          <w:lang w:val="en-US"/>
        </w:rPr>
        <w:t>Discuss</w:t>
      </w:r>
      <w:r w:rsidR="00D265F4">
        <w:rPr>
          <w:rFonts w:asciiTheme="minorHAnsi" w:hAnsiTheme="minorHAnsi" w:cstheme="minorHAnsi"/>
          <w:b/>
          <w:bCs/>
          <w:sz w:val="24"/>
          <w:lang w:val="en-US"/>
        </w:rPr>
        <w:t xml:space="preserve">ion on </w:t>
      </w:r>
      <w:r w:rsidR="002B0CFE" w:rsidRPr="002B0CFE">
        <w:rPr>
          <w:rFonts w:asciiTheme="minorHAnsi" w:hAnsiTheme="minorHAnsi" w:cstheme="minorHAnsi"/>
          <w:b/>
          <w:bCs/>
          <w:sz w:val="24"/>
          <w:lang w:val="en-US"/>
        </w:rPr>
        <w:t xml:space="preserve">MRO </w:t>
      </w:r>
      <w:r w:rsidR="00B43CF0">
        <w:rPr>
          <w:rFonts w:asciiTheme="minorHAnsi" w:hAnsiTheme="minorHAnsi" w:cstheme="minorHAnsi"/>
          <w:b/>
          <w:bCs/>
          <w:sz w:val="24"/>
          <w:lang w:val="en-US"/>
        </w:rPr>
        <w:t>for</w:t>
      </w:r>
      <w:r w:rsidR="002B0CFE" w:rsidRPr="002B0CFE">
        <w:rPr>
          <w:rFonts w:asciiTheme="minorHAnsi" w:hAnsiTheme="minorHAnsi" w:cstheme="minorHAnsi"/>
          <w:b/>
          <w:bCs/>
          <w:sz w:val="24"/>
          <w:lang w:val="en-US"/>
        </w:rPr>
        <w:t xml:space="preserve"> fast MCG recovery</w:t>
      </w:r>
    </w:p>
    <w:p w14:paraId="798882EA" w14:textId="32EFC9C3" w:rsidR="00501135" w:rsidRPr="004C20EC" w:rsidRDefault="00501135">
      <w:pPr>
        <w:ind w:left="1985" w:hanging="1985"/>
        <w:rPr>
          <w:rFonts w:asciiTheme="minorHAnsi" w:hAnsiTheme="minorHAnsi" w:cstheme="minorHAnsi"/>
          <w:b/>
          <w:bCs/>
          <w:sz w:val="24"/>
          <w:szCs w:val="24"/>
          <w:lang w:eastAsia="ja-JP"/>
        </w:rPr>
      </w:pPr>
      <w:r w:rsidRPr="004C20EC">
        <w:rPr>
          <w:rFonts w:asciiTheme="minorHAnsi" w:hAnsiTheme="minorHAnsi" w:cstheme="minorHAnsi"/>
          <w:b/>
          <w:bCs/>
          <w:sz w:val="24"/>
          <w:szCs w:val="24"/>
        </w:rPr>
        <w:t>Document for:</w:t>
      </w:r>
      <w:r w:rsidRPr="004C20EC">
        <w:rPr>
          <w:rFonts w:asciiTheme="minorHAnsi" w:hAnsiTheme="minorHAnsi" w:cstheme="minorHAnsi"/>
          <w:b/>
          <w:bCs/>
          <w:sz w:val="24"/>
          <w:szCs w:val="24"/>
        </w:rPr>
        <w:tab/>
      </w:r>
      <w:r w:rsidR="000B7EE5" w:rsidRPr="004C20EC">
        <w:rPr>
          <w:rFonts w:asciiTheme="minorHAnsi" w:hAnsiTheme="minorHAnsi" w:cstheme="minorHAnsi"/>
          <w:b/>
          <w:bCs/>
          <w:sz w:val="24"/>
          <w:szCs w:val="24"/>
        </w:rPr>
        <w:t>Discussion and agreement</w:t>
      </w:r>
    </w:p>
    <w:p w14:paraId="05133CC1" w14:textId="77777777" w:rsidR="00501135" w:rsidRPr="004C20EC" w:rsidRDefault="00501135">
      <w:pPr>
        <w:pStyle w:val="1"/>
        <w:rPr>
          <w:rFonts w:asciiTheme="minorHAnsi" w:hAnsiTheme="minorHAnsi" w:cstheme="minorHAnsi"/>
        </w:rPr>
      </w:pPr>
      <w:bookmarkStart w:id="1" w:name="_Toc527283429"/>
      <w:bookmarkStart w:id="2" w:name="_Toc527283646"/>
      <w:bookmarkStart w:id="3" w:name="_Toc527283675"/>
      <w:bookmarkStart w:id="4" w:name="_Toc527283740"/>
      <w:bookmarkStart w:id="5" w:name="_Toc527283744"/>
      <w:bookmarkStart w:id="6" w:name="_Toc527283905"/>
      <w:bookmarkStart w:id="7" w:name="_Toc527283922"/>
      <w:bookmarkStart w:id="8" w:name="_Toc126137453"/>
      <w:bookmarkStart w:id="9" w:name="_Toc126137557"/>
      <w:r w:rsidRPr="004C20EC">
        <w:rPr>
          <w:rFonts w:asciiTheme="minorHAnsi" w:hAnsiTheme="minorHAnsi" w:cstheme="minorHAnsi"/>
        </w:rPr>
        <w:t>1</w:t>
      </w:r>
      <w:r w:rsidRPr="004C20EC">
        <w:rPr>
          <w:rFonts w:asciiTheme="minorHAnsi" w:hAnsiTheme="minorHAnsi" w:cstheme="minorHAnsi"/>
        </w:rPr>
        <w:tab/>
        <w:t>Introduction</w:t>
      </w:r>
      <w:bookmarkEnd w:id="1"/>
      <w:bookmarkEnd w:id="2"/>
      <w:bookmarkEnd w:id="3"/>
      <w:bookmarkEnd w:id="4"/>
      <w:bookmarkEnd w:id="5"/>
      <w:bookmarkEnd w:id="6"/>
      <w:bookmarkEnd w:id="7"/>
      <w:bookmarkEnd w:id="8"/>
      <w:bookmarkEnd w:id="9"/>
    </w:p>
    <w:p w14:paraId="4E5E48EA" w14:textId="79954002" w:rsidR="007D02E1" w:rsidRPr="00783749" w:rsidRDefault="002B0CFE" w:rsidP="00783749">
      <w:pPr>
        <w:jc w:val="both"/>
        <w:rPr>
          <w:rFonts w:asciiTheme="minorHAnsi" w:hAnsiTheme="minorHAnsi" w:cstheme="minorHAnsi"/>
        </w:rPr>
      </w:pPr>
      <w:r w:rsidRPr="00783749">
        <w:rPr>
          <w:rFonts w:asciiTheme="minorHAnsi" w:eastAsiaTheme="minorEastAsia" w:hAnsiTheme="minorHAnsi" w:cstheme="minorHAnsi"/>
          <w:lang w:eastAsia="zh-CN"/>
        </w:rPr>
        <w:t>Du</w:t>
      </w:r>
      <w:r w:rsidRPr="00783749">
        <w:rPr>
          <w:rFonts w:asciiTheme="minorHAnsi" w:hAnsiTheme="minorHAnsi" w:cstheme="minorHAnsi"/>
        </w:rPr>
        <w:t>ring the previous meeting, it has been agreed that</w:t>
      </w:r>
    </w:p>
    <w:tbl>
      <w:tblPr>
        <w:tblStyle w:val="af4"/>
        <w:tblW w:w="0" w:type="auto"/>
        <w:tblLook w:val="04A0" w:firstRow="1" w:lastRow="0" w:firstColumn="1" w:lastColumn="0" w:noHBand="0" w:noVBand="1"/>
      </w:tblPr>
      <w:tblGrid>
        <w:gridCol w:w="9962"/>
      </w:tblGrid>
      <w:tr w:rsidR="002B0CFE" w:rsidRPr="00783749" w14:paraId="7190D09E" w14:textId="77777777" w:rsidTr="002B0CFE">
        <w:tc>
          <w:tcPr>
            <w:tcW w:w="9962" w:type="dxa"/>
          </w:tcPr>
          <w:p w14:paraId="7396C4E7" w14:textId="77777777" w:rsidR="002B0CFE" w:rsidRPr="00783749" w:rsidRDefault="002B0CFE" w:rsidP="00783749">
            <w:pPr>
              <w:jc w:val="both"/>
              <w:rPr>
                <w:rFonts w:asciiTheme="minorHAnsi" w:hAnsiTheme="minorHAnsi" w:cstheme="minorHAnsi"/>
                <w:i/>
                <w:iCs/>
                <w:color w:val="00B050"/>
                <w:kern w:val="2"/>
                <w:u w:val="single"/>
              </w:rPr>
            </w:pPr>
            <w:r w:rsidRPr="00783749">
              <w:rPr>
                <w:rFonts w:asciiTheme="minorHAnsi" w:hAnsiTheme="minorHAnsi" w:cstheme="minorHAnsi"/>
                <w:i/>
                <w:iCs/>
                <w:color w:val="00B050"/>
                <w:kern w:val="2"/>
                <w:u w:val="single"/>
              </w:rPr>
              <w:t xml:space="preserve">MRO for the fast MCG recovery: </w:t>
            </w:r>
          </w:p>
          <w:p w14:paraId="7A0CD2B7" w14:textId="03B0B147" w:rsidR="002B0CFE" w:rsidRPr="00783749" w:rsidRDefault="002B0CFE" w:rsidP="00783749">
            <w:pPr>
              <w:pStyle w:val="31"/>
              <w:widowControl w:val="0"/>
              <w:spacing w:before="120" w:beforeAutospacing="0" w:after="100" w:afterAutospacing="1" w:line="280" w:lineRule="atLeast"/>
              <w:ind w:left="0"/>
              <w:jc w:val="both"/>
              <w:rPr>
                <w:rFonts w:asciiTheme="minorHAnsi" w:eastAsia="MS Mincho" w:hAnsiTheme="minorHAnsi" w:cstheme="minorHAnsi"/>
                <w:i/>
                <w:iCs/>
                <w:color w:val="00B050"/>
                <w:kern w:val="2"/>
                <w:sz w:val="20"/>
                <w:szCs w:val="20"/>
              </w:rPr>
            </w:pPr>
            <w:r w:rsidRPr="00783749">
              <w:rPr>
                <w:rFonts w:asciiTheme="minorHAnsi" w:eastAsia="MS Mincho" w:hAnsiTheme="minorHAnsi" w:cstheme="minorHAnsi"/>
                <w:i/>
                <w:iCs/>
                <w:color w:val="00B050"/>
                <w:kern w:val="2"/>
                <w:sz w:val="20"/>
                <w:szCs w:val="20"/>
              </w:rPr>
              <w:t xml:space="preserve">Case a: SCG fails or is deactivated when the UE attempts MCG recovery (i.e. a SCG failure/deactivation while T316 is running after MCG failure) </w:t>
            </w:r>
          </w:p>
          <w:p w14:paraId="58FCBFF9" w14:textId="2953814C" w:rsidR="002B0CFE" w:rsidRPr="00783749" w:rsidRDefault="002B0CFE" w:rsidP="00783749">
            <w:pPr>
              <w:pStyle w:val="31"/>
              <w:widowControl w:val="0"/>
              <w:spacing w:before="120" w:beforeAutospacing="0" w:after="100" w:afterAutospacing="1" w:line="280" w:lineRule="atLeast"/>
              <w:ind w:left="0"/>
              <w:jc w:val="both"/>
              <w:rPr>
                <w:rFonts w:asciiTheme="minorHAnsi" w:eastAsia="MS Mincho" w:hAnsiTheme="minorHAnsi" w:cstheme="minorHAnsi"/>
                <w:i/>
                <w:iCs/>
                <w:color w:val="00B050"/>
                <w:kern w:val="2"/>
                <w:sz w:val="20"/>
                <w:szCs w:val="20"/>
              </w:rPr>
            </w:pPr>
            <w:r w:rsidRPr="00783749">
              <w:rPr>
                <w:rFonts w:asciiTheme="minorHAnsi" w:eastAsia="MS Mincho" w:hAnsiTheme="minorHAnsi" w:cstheme="minorHAnsi"/>
                <w:i/>
                <w:iCs/>
                <w:color w:val="00B050"/>
                <w:kern w:val="2"/>
                <w:sz w:val="20"/>
                <w:szCs w:val="20"/>
              </w:rPr>
              <w:t xml:space="preserve">Case b: the signalling delay is longer than the time the UE waits for the response (T316 expired); </w:t>
            </w:r>
          </w:p>
          <w:p w14:paraId="2B338F82" w14:textId="77777777" w:rsidR="002B0CFE" w:rsidRDefault="002B0CFE" w:rsidP="00783749">
            <w:pPr>
              <w:pStyle w:val="31"/>
              <w:widowControl w:val="0"/>
              <w:spacing w:before="120" w:beforeAutospacing="0" w:after="100" w:afterAutospacing="1" w:line="280" w:lineRule="atLeast"/>
              <w:ind w:left="0"/>
              <w:jc w:val="both"/>
              <w:rPr>
                <w:rFonts w:asciiTheme="minorHAnsi" w:eastAsia="MS Mincho" w:hAnsiTheme="minorHAnsi" w:cstheme="minorHAnsi"/>
                <w:i/>
                <w:iCs/>
                <w:color w:val="00B050"/>
                <w:kern w:val="2"/>
                <w:sz w:val="20"/>
                <w:szCs w:val="20"/>
              </w:rPr>
            </w:pPr>
            <w:r w:rsidRPr="00783749">
              <w:rPr>
                <w:rFonts w:asciiTheme="minorHAnsi" w:eastAsia="MS Mincho" w:hAnsiTheme="minorHAnsi" w:cstheme="minorHAnsi"/>
                <w:i/>
                <w:iCs/>
                <w:color w:val="00B050"/>
                <w:kern w:val="2"/>
                <w:sz w:val="20"/>
                <w:szCs w:val="20"/>
              </w:rPr>
              <w:t>other problems are not precluded if legacy MRO mechanism cannot cope with it.</w:t>
            </w:r>
          </w:p>
          <w:p w14:paraId="0B0822E0" w14:textId="77777777" w:rsidR="00CE6E79" w:rsidRPr="00D265F4" w:rsidRDefault="00CE6E79" w:rsidP="00783749">
            <w:pPr>
              <w:pStyle w:val="31"/>
              <w:widowControl w:val="0"/>
              <w:spacing w:before="120" w:beforeAutospacing="0" w:after="100" w:afterAutospacing="1" w:line="280" w:lineRule="atLeast"/>
              <w:ind w:left="0"/>
              <w:jc w:val="both"/>
              <w:rPr>
                <w:rFonts w:asciiTheme="minorHAnsi" w:eastAsiaTheme="minorEastAsia" w:hAnsiTheme="minorHAnsi" w:cstheme="minorHAnsi"/>
                <w:iCs/>
                <w:color w:val="FF0000"/>
                <w:kern w:val="2"/>
                <w:sz w:val="18"/>
                <w:szCs w:val="18"/>
              </w:rPr>
            </w:pPr>
            <w:r w:rsidRPr="00D265F4">
              <w:rPr>
                <w:rFonts w:asciiTheme="minorHAnsi" w:eastAsiaTheme="minorEastAsia" w:hAnsiTheme="minorHAnsi" w:cstheme="minorHAnsi"/>
                <w:iCs/>
                <w:color w:val="FF0000"/>
                <w:kern w:val="2"/>
                <w:sz w:val="18"/>
                <w:szCs w:val="18"/>
              </w:rPr>
              <w:t>RAN3 #119</w:t>
            </w:r>
          </w:p>
          <w:p w14:paraId="7196AC28" w14:textId="77777777" w:rsidR="00CE6E79" w:rsidRPr="00FA282D" w:rsidRDefault="00CE6E79" w:rsidP="00CE6E79">
            <w:pPr>
              <w:widowControl w:val="0"/>
              <w:rPr>
                <w:rFonts w:ascii="Calibri" w:eastAsia="等线" w:hAnsi="Calibri" w:cs="Calibri"/>
                <w:b/>
                <w:color w:val="008000"/>
                <w:sz w:val="18"/>
                <w:szCs w:val="24"/>
                <w:u w:val="single"/>
              </w:rPr>
            </w:pPr>
            <w:r w:rsidRPr="00FA282D">
              <w:rPr>
                <w:rFonts w:ascii="Calibri" w:hAnsi="Calibri" w:cs="Calibri"/>
                <w:b/>
                <w:color w:val="008000"/>
                <w:sz w:val="18"/>
                <w:szCs w:val="24"/>
              </w:rPr>
              <w:t>Sub-Case b1/Sub-Case b2 would not be considered for MRO for fast MCG recovery failure.</w:t>
            </w:r>
          </w:p>
          <w:p w14:paraId="3C577590" w14:textId="77777777" w:rsidR="00CE6E79" w:rsidRPr="00FA282D" w:rsidRDefault="00CE6E79" w:rsidP="00CE6E79">
            <w:pPr>
              <w:rPr>
                <w:rFonts w:ascii="Calibri" w:hAnsi="Calibri" w:cs="Calibri"/>
                <w:b/>
                <w:color w:val="0000FF"/>
                <w:sz w:val="18"/>
                <w:szCs w:val="24"/>
              </w:rPr>
            </w:pPr>
            <w:r w:rsidRPr="00FA282D">
              <w:rPr>
                <w:rFonts w:ascii="Calibri" w:hAnsi="Calibri" w:cs="Calibri"/>
                <w:b/>
                <w:color w:val="0000FF"/>
                <w:sz w:val="18"/>
                <w:szCs w:val="24"/>
              </w:rPr>
              <w:t>Case c/Case d/Case e/Case f would not be considered for MRO for fast MCG recovery failure?</w:t>
            </w:r>
          </w:p>
          <w:p w14:paraId="52672E42" w14:textId="77777777" w:rsidR="00CE6E79" w:rsidRDefault="00CE6E79" w:rsidP="00CE6E79">
            <w:pPr>
              <w:rPr>
                <w:rFonts w:ascii="Calibri" w:hAnsi="Calibri" w:cs="Calibri"/>
                <w:b/>
                <w:color w:val="0000FF"/>
                <w:sz w:val="18"/>
                <w:szCs w:val="24"/>
              </w:rPr>
            </w:pPr>
            <w:r w:rsidRPr="00FA282D">
              <w:rPr>
                <w:rFonts w:ascii="Calibri" w:hAnsi="Calibri" w:cs="Calibri"/>
                <w:b/>
                <w:color w:val="0000FF"/>
                <w:sz w:val="18"/>
                <w:szCs w:val="24"/>
              </w:rPr>
              <w:t>Additional information to be reported by UE?</w:t>
            </w:r>
          </w:p>
          <w:p w14:paraId="5B668E44" w14:textId="77777777" w:rsidR="002D5ED6" w:rsidRPr="00F71807" w:rsidRDefault="002D5ED6" w:rsidP="002D5ED6">
            <w:pPr>
              <w:rPr>
                <w:rFonts w:cs="Arial"/>
                <w:b/>
                <w:bCs/>
                <w:color w:val="008000"/>
                <w:szCs w:val="22"/>
                <w:u w:val="single"/>
              </w:rPr>
            </w:pPr>
            <w:r w:rsidRPr="00F71807">
              <w:rPr>
                <w:rFonts w:cs="Arial"/>
                <w:b/>
                <w:bCs/>
                <w:color w:val="008000"/>
                <w:szCs w:val="22"/>
                <w:u w:val="single"/>
              </w:rPr>
              <w:t>Agreements:</w:t>
            </w:r>
          </w:p>
          <w:p w14:paraId="086C9CF3" w14:textId="77777777" w:rsidR="002D5ED6" w:rsidRPr="00880A29" w:rsidRDefault="002D5ED6" w:rsidP="002D5ED6">
            <w:pPr>
              <w:rPr>
                <w:b/>
                <w:bCs/>
                <w:color w:val="008000"/>
                <w:sz w:val="18"/>
              </w:rPr>
            </w:pPr>
            <w:r w:rsidRPr="00880A29">
              <w:rPr>
                <w:b/>
                <w:bCs/>
                <w:color w:val="008000"/>
                <w:sz w:val="18"/>
              </w:rPr>
              <w:t>Definitions of MRO events for CPAC will be introduced in TS 37.340 in a new chapter (based on [1226], CPA needs to be added).</w:t>
            </w:r>
          </w:p>
          <w:p w14:paraId="49CDCC60" w14:textId="77777777" w:rsidR="002D5ED6" w:rsidRPr="00F71807" w:rsidRDefault="002D5ED6" w:rsidP="002D5ED6">
            <w:pPr>
              <w:rPr>
                <w:rFonts w:cs="Arial"/>
                <w:b/>
                <w:bCs/>
                <w:color w:val="008000"/>
                <w:szCs w:val="22"/>
                <w:u w:val="single"/>
              </w:rPr>
            </w:pPr>
            <w:r w:rsidRPr="00F71807">
              <w:rPr>
                <w:rFonts w:cs="Arial"/>
                <w:b/>
                <w:bCs/>
                <w:color w:val="008000"/>
                <w:szCs w:val="22"/>
                <w:u w:val="single"/>
              </w:rPr>
              <w:t>Agreements:</w:t>
            </w:r>
          </w:p>
          <w:p w14:paraId="77265E41" w14:textId="77777777" w:rsidR="002D5ED6" w:rsidRPr="00880A29" w:rsidRDefault="002D5ED6" w:rsidP="002D5ED6">
            <w:pPr>
              <w:rPr>
                <w:b/>
                <w:bCs/>
                <w:color w:val="008000"/>
                <w:sz w:val="18"/>
              </w:rPr>
            </w:pPr>
            <w:r w:rsidRPr="00880A29">
              <w:rPr>
                <w:b/>
                <w:bCs/>
                <w:color w:val="008000"/>
                <w:sz w:val="18"/>
              </w:rPr>
              <w:t xml:space="preserve">During CPAC configuration, the value of the Time Stay IE for the source PSCell UHI, sent in S-NODE ADDITION REQUEST message, does not reflect the exact time the UE stayed in the source PSCell. </w:t>
            </w:r>
          </w:p>
          <w:p w14:paraId="15FAEC96" w14:textId="77777777" w:rsidR="002D5ED6" w:rsidRPr="00880A29" w:rsidRDefault="002D5ED6" w:rsidP="002D5ED6">
            <w:pPr>
              <w:rPr>
                <w:bCs/>
                <w:color w:val="0000FF"/>
                <w:sz w:val="18"/>
              </w:rPr>
            </w:pPr>
            <w:r w:rsidRPr="00880A29">
              <w:rPr>
                <w:bCs/>
                <w:color w:val="0000FF"/>
                <w:sz w:val="18"/>
              </w:rPr>
              <w:t>In Rel.18, no extra signalling will be enabled to support CPAC UHI, stage2 text to be checked?</w:t>
            </w:r>
          </w:p>
          <w:p w14:paraId="5652EB77" w14:textId="77777777" w:rsidR="002D5ED6" w:rsidRPr="00880A29" w:rsidRDefault="002D5ED6" w:rsidP="002D5ED6">
            <w:pPr>
              <w:rPr>
                <w:bCs/>
                <w:color w:val="0000FF"/>
                <w:sz w:val="18"/>
              </w:rPr>
            </w:pPr>
            <w:r w:rsidRPr="00880A29">
              <w:rPr>
                <w:bCs/>
                <w:color w:val="0000FF"/>
                <w:sz w:val="18"/>
              </w:rPr>
              <w:t>A scenario when MCG fails before CPA/CPC is executed is a subject to regular MCG MRO correction to avoid possible resource waste.</w:t>
            </w:r>
          </w:p>
          <w:p w14:paraId="46201E2E" w14:textId="77777777" w:rsidR="002D5ED6" w:rsidRPr="0038569B" w:rsidRDefault="002D5ED6" w:rsidP="002D5ED6">
            <w:pPr>
              <w:rPr>
                <w:rFonts w:asciiTheme="minorHAnsi" w:hAnsiTheme="minorHAnsi" w:cs="Arial"/>
                <w:b/>
                <w:bCs/>
                <w:color w:val="008000"/>
                <w:szCs w:val="22"/>
                <w:u w:val="single"/>
              </w:rPr>
            </w:pPr>
            <w:r w:rsidRPr="0038569B">
              <w:rPr>
                <w:rFonts w:asciiTheme="minorHAnsi" w:hAnsiTheme="minorHAnsi" w:cs="Arial"/>
                <w:b/>
                <w:bCs/>
                <w:color w:val="008000"/>
                <w:szCs w:val="22"/>
                <w:u w:val="single"/>
              </w:rPr>
              <w:t>Agreements:</w:t>
            </w:r>
          </w:p>
          <w:p w14:paraId="59329E68" w14:textId="77777777" w:rsidR="002D5ED6" w:rsidRPr="0038569B" w:rsidRDefault="002D5ED6" w:rsidP="002D5ED6">
            <w:pPr>
              <w:rPr>
                <w:rFonts w:asciiTheme="minorHAnsi" w:hAnsiTheme="minorHAnsi"/>
                <w:b/>
                <w:bCs/>
                <w:color w:val="008000"/>
                <w:sz w:val="18"/>
              </w:rPr>
            </w:pPr>
            <w:r w:rsidRPr="0038569B">
              <w:rPr>
                <w:rFonts w:asciiTheme="minorHAnsi" w:hAnsiTheme="minorHAnsi"/>
                <w:b/>
                <w:bCs/>
                <w:color w:val="008000"/>
                <w:sz w:val="18"/>
              </w:rPr>
              <w:t xml:space="preserve">Case f1, where the SCG fails or is deactivated yet before the UE sends the MCGFailureInformation is to be addressed. </w:t>
            </w:r>
          </w:p>
          <w:p w14:paraId="05F3D181" w14:textId="77777777" w:rsidR="002D5ED6" w:rsidRPr="0038569B" w:rsidRDefault="002D5ED6" w:rsidP="002D5ED6">
            <w:pPr>
              <w:rPr>
                <w:rFonts w:asciiTheme="minorHAnsi" w:hAnsiTheme="minorHAnsi"/>
                <w:bCs/>
                <w:color w:val="0000FF"/>
                <w:sz w:val="18"/>
              </w:rPr>
            </w:pPr>
            <w:r w:rsidRPr="0038569B">
              <w:rPr>
                <w:rFonts w:asciiTheme="minorHAnsi" w:hAnsiTheme="minorHAnsi"/>
                <w:bCs/>
                <w:color w:val="0000FF"/>
                <w:sz w:val="18"/>
              </w:rPr>
              <w:t xml:space="preserve">Case (c), </w:t>
            </w:r>
            <w:proofErr w:type="gramStart"/>
            <w:r w:rsidRPr="0038569B">
              <w:rPr>
                <w:rFonts w:asciiTheme="minorHAnsi" w:hAnsiTheme="minorHAnsi"/>
                <w:bCs/>
                <w:color w:val="0000FF"/>
                <w:sz w:val="18"/>
              </w:rPr>
              <w:t>i.e.</w:t>
            </w:r>
            <w:proofErr w:type="gramEnd"/>
            <w:r w:rsidRPr="0038569B">
              <w:rPr>
                <w:rFonts w:asciiTheme="minorHAnsi" w:hAnsiTheme="minorHAnsi"/>
                <w:bCs/>
                <w:color w:val="0000FF"/>
                <w:sz w:val="18"/>
              </w:rPr>
              <w:t xml:space="preserve"> the “near-failure scenario” will be addressed.</w:t>
            </w:r>
          </w:p>
          <w:p w14:paraId="75B8ED8B" w14:textId="77777777" w:rsidR="002D5ED6" w:rsidRPr="0038569B" w:rsidRDefault="002D5ED6" w:rsidP="002D5ED6">
            <w:pPr>
              <w:rPr>
                <w:rFonts w:asciiTheme="minorHAnsi" w:hAnsiTheme="minorHAnsi"/>
                <w:bCs/>
                <w:color w:val="0000FF"/>
                <w:sz w:val="18"/>
              </w:rPr>
            </w:pPr>
            <w:r w:rsidRPr="0038569B">
              <w:rPr>
                <w:rFonts w:asciiTheme="minorHAnsi" w:hAnsiTheme="minorHAnsi"/>
                <w:bCs/>
                <w:color w:val="0000FF"/>
                <w:sz w:val="18"/>
              </w:rPr>
              <w:t>WA: In order to enable support for pre-Rel.18 UEs (and help avoid wasting Uu resources), the T316 will be delivered from the MN to the SN.</w:t>
            </w:r>
          </w:p>
          <w:p w14:paraId="527DE9BA" w14:textId="77777777" w:rsidR="002D5ED6" w:rsidRPr="0038569B" w:rsidRDefault="002D5ED6" w:rsidP="002D5ED6">
            <w:pPr>
              <w:rPr>
                <w:rFonts w:asciiTheme="minorHAnsi" w:hAnsiTheme="minorHAnsi" w:cs="Arial"/>
                <w:b/>
                <w:bCs/>
                <w:color w:val="008000"/>
                <w:szCs w:val="22"/>
                <w:u w:val="single"/>
              </w:rPr>
            </w:pPr>
            <w:r w:rsidRPr="0038569B">
              <w:rPr>
                <w:rFonts w:asciiTheme="minorHAnsi" w:hAnsiTheme="minorHAnsi" w:cs="Arial"/>
                <w:b/>
                <w:bCs/>
                <w:color w:val="008000"/>
                <w:szCs w:val="22"/>
                <w:u w:val="single"/>
              </w:rPr>
              <w:t>Agreements:</w:t>
            </w:r>
          </w:p>
          <w:p w14:paraId="437C64B4" w14:textId="77777777" w:rsidR="002D5ED6" w:rsidRPr="0038569B" w:rsidRDefault="002D5ED6" w:rsidP="002D5ED6">
            <w:pPr>
              <w:rPr>
                <w:rFonts w:asciiTheme="minorHAnsi" w:hAnsiTheme="minorHAnsi"/>
                <w:b/>
                <w:bCs/>
                <w:color w:val="008000"/>
                <w:sz w:val="18"/>
              </w:rPr>
            </w:pPr>
            <w:r w:rsidRPr="0038569B">
              <w:rPr>
                <w:rFonts w:asciiTheme="minorHAnsi" w:hAnsiTheme="minorHAnsi"/>
                <w:b/>
                <w:bCs/>
                <w:color w:val="008000"/>
                <w:sz w:val="18"/>
              </w:rPr>
              <w:t xml:space="preserve">Stage-2 description of the detection mechanism will be introduced in TS 38.300 (based on </w:t>
            </w:r>
            <w:hyperlink r:id="rId11" w:history="1">
              <w:r w:rsidRPr="0038569B">
                <w:rPr>
                  <w:rStyle w:val="a8"/>
                  <w:rFonts w:asciiTheme="minorHAnsi" w:hAnsiTheme="minorHAnsi"/>
                  <w:b/>
                  <w:bCs/>
                  <w:sz w:val="18"/>
                </w:rPr>
                <w:t>R3-231585</w:t>
              </w:r>
            </w:hyperlink>
            <w:r w:rsidRPr="0038569B">
              <w:rPr>
                <w:rFonts w:asciiTheme="minorHAnsi" w:hAnsiTheme="minorHAnsi"/>
                <w:b/>
                <w:bCs/>
                <w:color w:val="008000"/>
                <w:sz w:val="18"/>
              </w:rPr>
              <w:t>).</w:t>
            </w:r>
          </w:p>
          <w:p w14:paraId="163028F5" w14:textId="77777777" w:rsidR="002D5ED6" w:rsidRPr="0038569B" w:rsidRDefault="002D5ED6" w:rsidP="002D5ED6">
            <w:pPr>
              <w:rPr>
                <w:rFonts w:asciiTheme="minorHAnsi" w:hAnsiTheme="minorHAnsi" w:cs="Arial"/>
                <w:b/>
                <w:bCs/>
                <w:color w:val="008000"/>
                <w:szCs w:val="22"/>
                <w:u w:val="single"/>
              </w:rPr>
            </w:pPr>
            <w:r w:rsidRPr="0038569B">
              <w:rPr>
                <w:rFonts w:asciiTheme="minorHAnsi" w:hAnsiTheme="minorHAnsi" w:cs="Arial"/>
                <w:b/>
                <w:bCs/>
                <w:color w:val="008000"/>
                <w:szCs w:val="22"/>
                <w:u w:val="single"/>
              </w:rPr>
              <w:t>Agreements:</w:t>
            </w:r>
          </w:p>
          <w:p w14:paraId="509FF121" w14:textId="77777777" w:rsidR="002D5ED6" w:rsidRPr="0038569B" w:rsidRDefault="002D5ED6" w:rsidP="002D5ED6">
            <w:pPr>
              <w:rPr>
                <w:rFonts w:asciiTheme="minorHAnsi" w:hAnsiTheme="minorHAnsi"/>
                <w:b/>
                <w:color w:val="008000"/>
                <w:sz w:val="18"/>
              </w:rPr>
            </w:pPr>
            <w:r w:rsidRPr="0038569B">
              <w:rPr>
                <w:rFonts w:asciiTheme="minorHAnsi" w:hAnsiTheme="minorHAnsi"/>
                <w:b/>
                <w:bCs/>
                <w:color w:val="008000"/>
                <w:sz w:val="18"/>
              </w:rPr>
              <w:t>Scenario ‘a’ is redefined: SCG fails when the UE is undergoing fast MCG recovery (</w:t>
            </w:r>
            <w:proofErr w:type="gramStart"/>
            <w:r w:rsidRPr="0038569B">
              <w:rPr>
                <w:rFonts w:asciiTheme="minorHAnsi" w:hAnsiTheme="minorHAnsi"/>
                <w:b/>
                <w:bCs/>
                <w:color w:val="008000"/>
                <w:sz w:val="18"/>
              </w:rPr>
              <w:t>i.e.</w:t>
            </w:r>
            <w:proofErr w:type="gramEnd"/>
            <w:r w:rsidRPr="0038569B">
              <w:rPr>
                <w:rFonts w:asciiTheme="minorHAnsi" w:hAnsiTheme="minorHAnsi"/>
                <w:b/>
                <w:bCs/>
                <w:color w:val="008000"/>
                <w:sz w:val="18"/>
              </w:rPr>
              <w:t xml:space="preserve"> SCG failure happens while T316 is running).</w:t>
            </w:r>
          </w:p>
          <w:p w14:paraId="22F26CAF" w14:textId="77777777" w:rsidR="002D5ED6" w:rsidRPr="0038569B" w:rsidRDefault="002D5ED6" w:rsidP="002D5ED6">
            <w:pPr>
              <w:rPr>
                <w:rFonts w:asciiTheme="minorHAnsi" w:hAnsiTheme="minorHAnsi"/>
                <w:b/>
                <w:bCs/>
                <w:color w:val="FF0000"/>
                <w:sz w:val="18"/>
              </w:rPr>
            </w:pPr>
            <w:r w:rsidRPr="0038569B">
              <w:rPr>
                <w:rFonts w:asciiTheme="minorHAnsi" w:hAnsiTheme="minorHAnsi"/>
                <w:b/>
                <w:bCs/>
                <w:color w:val="FF0000"/>
                <w:sz w:val="18"/>
              </w:rPr>
              <w:t>The document containing list of scenarios (last noted at #118 as R3-226422) is recommended to be updated to cover the scenario ‘f1’.</w:t>
            </w:r>
          </w:p>
          <w:p w14:paraId="49404C6A" w14:textId="77777777" w:rsidR="002D5ED6" w:rsidRPr="0038569B" w:rsidRDefault="002D5ED6" w:rsidP="002D5ED6">
            <w:pPr>
              <w:rPr>
                <w:rFonts w:asciiTheme="minorHAnsi" w:hAnsiTheme="minorHAnsi"/>
              </w:rPr>
            </w:pPr>
            <w:r w:rsidRPr="0038569B">
              <w:rPr>
                <w:rFonts w:asciiTheme="minorHAnsi" w:hAnsiTheme="minorHAnsi"/>
                <w:bCs/>
                <w:color w:val="0000FF"/>
                <w:sz w:val="18"/>
              </w:rPr>
              <w:lastRenderedPageBreak/>
              <w:t>To be continued: Transfer of the T316 from the MN to the SN to support the MRO for the fast MCG recovery Rel.18 scenarios for pre-Rel.18 UEs (or Uu resource usage optimisation).</w:t>
            </w:r>
          </w:p>
          <w:p w14:paraId="4ABA8BC5" w14:textId="4D0EF8AF" w:rsidR="002D5ED6" w:rsidRPr="002D5ED6" w:rsidRDefault="002D5ED6" w:rsidP="00CE6E79">
            <w:pPr>
              <w:rPr>
                <w:rFonts w:ascii="Calibri" w:hAnsi="Calibri" w:cs="Calibri"/>
                <w:b/>
                <w:color w:val="0000FF"/>
                <w:sz w:val="18"/>
                <w:szCs w:val="24"/>
              </w:rPr>
            </w:pPr>
          </w:p>
        </w:tc>
      </w:tr>
    </w:tbl>
    <w:p w14:paraId="6DC57EEA" w14:textId="2816A1F3" w:rsidR="002B0CFE" w:rsidRPr="00783749" w:rsidRDefault="002B0CFE" w:rsidP="00783749">
      <w:pPr>
        <w:jc w:val="both"/>
        <w:rPr>
          <w:rFonts w:asciiTheme="minorHAnsi" w:eastAsiaTheme="minorEastAsia" w:hAnsiTheme="minorHAnsi" w:cstheme="minorHAnsi"/>
          <w:lang w:eastAsia="zh-CN"/>
        </w:rPr>
      </w:pPr>
      <w:r w:rsidRPr="00783749">
        <w:rPr>
          <w:rFonts w:asciiTheme="minorHAnsi" w:eastAsiaTheme="minorEastAsia" w:hAnsiTheme="minorHAnsi" w:cstheme="minorHAnsi"/>
          <w:lang w:eastAsia="zh-CN"/>
        </w:rPr>
        <w:lastRenderedPageBreak/>
        <w:t>But also it should be noticed that whether to consider other potential cases should be further discussed. Therefore, in this contribution, we will further investigate whether it is worthwhile to study other cases th</w:t>
      </w:r>
      <w:r w:rsidR="004E60F0">
        <w:rPr>
          <w:rFonts w:asciiTheme="minorHAnsi" w:eastAsiaTheme="minorEastAsia" w:hAnsiTheme="minorHAnsi" w:cstheme="minorHAnsi"/>
          <w:lang w:eastAsia="zh-CN"/>
        </w:rPr>
        <w:t>an the agreed case a and case b, as well as some necessary information should be reported for fast MCG recovery.</w:t>
      </w:r>
    </w:p>
    <w:p w14:paraId="11968D4C" w14:textId="0F6C8186" w:rsidR="007F3E85" w:rsidRDefault="00501135" w:rsidP="007F3E85">
      <w:pPr>
        <w:pStyle w:val="1"/>
        <w:rPr>
          <w:rFonts w:asciiTheme="minorHAnsi" w:hAnsiTheme="minorHAnsi" w:cstheme="minorHAnsi"/>
        </w:rPr>
      </w:pPr>
      <w:bookmarkStart w:id="10" w:name="_Toc527283430"/>
      <w:bookmarkStart w:id="11" w:name="_Toc527283647"/>
      <w:bookmarkStart w:id="12" w:name="_Toc527283676"/>
      <w:bookmarkStart w:id="13" w:name="_Toc527283741"/>
      <w:bookmarkStart w:id="14" w:name="_Toc527283745"/>
      <w:bookmarkStart w:id="15" w:name="_Toc527283906"/>
      <w:bookmarkStart w:id="16" w:name="_Toc527283923"/>
      <w:bookmarkStart w:id="17" w:name="_Toc126137454"/>
      <w:bookmarkStart w:id="18" w:name="_Toc126137559"/>
      <w:r w:rsidRPr="007A1EB3">
        <w:rPr>
          <w:rFonts w:asciiTheme="minorHAnsi" w:hAnsiTheme="minorHAnsi" w:cstheme="minorHAnsi"/>
        </w:rPr>
        <w:t>2</w:t>
      </w:r>
      <w:r w:rsidRPr="007A1EB3">
        <w:rPr>
          <w:rFonts w:asciiTheme="minorHAnsi" w:hAnsiTheme="minorHAnsi" w:cstheme="minorHAnsi"/>
        </w:rPr>
        <w:tab/>
        <w:t>Discussion</w:t>
      </w:r>
      <w:bookmarkStart w:id="19" w:name="_Toc527283432"/>
      <w:bookmarkStart w:id="20" w:name="_Toc527283649"/>
      <w:bookmarkStart w:id="21" w:name="_Toc527283678"/>
      <w:bookmarkStart w:id="22" w:name="_Toc527283742"/>
      <w:bookmarkStart w:id="23" w:name="_Toc527283746"/>
      <w:bookmarkStart w:id="24" w:name="_Toc527283908"/>
      <w:bookmarkStart w:id="25" w:name="_Toc527283925"/>
      <w:bookmarkStart w:id="26" w:name="_Toc126137455"/>
      <w:bookmarkStart w:id="27" w:name="_Toc126137560"/>
      <w:bookmarkStart w:id="28" w:name="_Hlk16664956"/>
      <w:bookmarkEnd w:id="10"/>
      <w:bookmarkEnd w:id="11"/>
      <w:bookmarkEnd w:id="12"/>
      <w:bookmarkEnd w:id="13"/>
      <w:bookmarkEnd w:id="14"/>
      <w:bookmarkEnd w:id="15"/>
      <w:bookmarkEnd w:id="16"/>
      <w:bookmarkEnd w:id="17"/>
      <w:bookmarkEnd w:id="18"/>
    </w:p>
    <w:p w14:paraId="50B199B1" w14:textId="2FB2E58B" w:rsidR="00D265F4" w:rsidRPr="00D265F4" w:rsidRDefault="00D265F4" w:rsidP="00D265F4">
      <w:pPr>
        <w:pStyle w:val="2"/>
      </w:pPr>
      <w:r>
        <w:t>2.1 MRO for fast MCG Recovery</w:t>
      </w:r>
    </w:p>
    <w:p w14:paraId="6D5BFE7C" w14:textId="58545466" w:rsidR="002B0CFE" w:rsidRPr="003925AA" w:rsidRDefault="002B0CFE" w:rsidP="003925AA">
      <w:pPr>
        <w:jc w:val="both"/>
        <w:rPr>
          <w:rFonts w:asciiTheme="minorHAnsi" w:eastAsiaTheme="minorEastAsia" w:hAnsiTheme="minorHAnsi" w:cstheme="minorHAnsi"/>
          <w:lang w:eastAsia="zh-CN"/>
        </w:rPr>
      </w:pPr>
      <w:r w:rsidRPr="003925AA">
        <w:rPr>
          <w:rFonts w:asciiTheme="minorHAnsi" w:eastAsiaTheme="minorEastAsia" w:hAnsiTheme="minorHAnsi" w:cstheme="minorHAnsi"/>
          <w:lang w:eastAsia="zh-CN"/>
        </w:rPr>
        <w:t xml:space="preserve">As mentioned, </w:t>
      </w:r>
      <w:r w:rsidR="00CE6E79">
        <w:rPr>
          <w:rFonts w:asciiTheme="minorHAnsi" w:eastAsiaTheme="minorEastAsia" w:hAnsiTheme="minorHAnsi" w:cstheme="minorHAnsi"/>
          <w:lang w:eastAsia="zh-CN"/>
        </w:rPr>
        <w:t xml:space="preserve">sub-case b1/b2 has already been excluded yet </w:t>
      </w:r>
      <w:r w:rsidRPr="003925AA">
        <w:rPr>
          <w:rFonts w:asciiTheme="minorHAnsi" w:eastAsiaTheme="minorEastAsia" w:hAnsiTheme="minorHAnsi" w:cstheme="minorHAnsi"/>
          <w:lang w:eastAsia="zh-CN"/>
        </w:rPr>
        <w:t>there are also the following cases which have been proposed:</w:t>
      </w:r>
    </w:p>
    <w:p w14:paraId="12D74345" w14:textId="54838640" w:rsidR="002B0CFE" w:rsidRPr="003925AA" w:rsidRDefault="002B0CFE" w:rsidP="003925AA">
      <w:pPr>
        <w:pStyle w:val="af2"/>
        <w:numPr>
          <w:ilvl w:val="0"/>
          <w:numId w:val="21"/>
        </w:numPr>
        <w:spacing w:after="0"/>
        <w:ind w:firstLineChars="0"/>
        <w:jc w:val="both"/>
        <w:textAlignment w:val="center"/>
        <w:rPr>
          <w:rFonts w:asciiTheme="minorHAnsi" w:eastAsia="Times New Roman" w:hAnsiTheme="minorHAnsi" w:cstheme="minorHAnsi"/>
          <w:lang w:val="en-US"/>
        </w:rPr>
      </w:pPr>
      <w:r w:rsidRPr="003925AA">
        <w:rPr>
          <w:rFonts w:asciiTheme="minorHAnsi" w:eastAsia="Times New Roman" w:hAnsiTheme="minorHAnsi" w:cstheme="minorHAnsi"/>
          <w:b/>
          <w:bCs/>
          <w:lang w:val="en-US"/>
        </w:rPr>
        <w:t>Case c:</w:t>
      </w:r>
      <w:r w:rsidRPr="003925AA">
        <w:rPr>
          <w:rFonts w:asciiTheme="minorHAnsi" w:eastAsia="Times New Roman" w:hAnsiTheme="minorHAnsi" w:cstheme="minorHAnsi"/>
          <w:lang w:val="en-US"/>
        </w:rPr>
        <w:t xml:space="preserve"> Fast recovery near failure case, i.e., UE receives the response message from MN via SN while T316 is running which almost expires but not yet.</w:t>
      </w:r>
    </w:p>
    <w:p w14:paraId="072B7E7D" w14:textId="6A5ABE35" w:rsidR="002B0CFE" w:rsidRPr="003925AA" w:rsidRDefault="002B0CFE" w:rsidP="003925AA">
      <w:pPr>
        <w:pStyle w:val="af2"/>
        <w:numPr>
          <w:ilvl w:val="0"/>
          <w:numId w:val="21"/>
        </w:numPr>
        <w:spacing w:after="0"/>
        <w:ind w:firstLineChars="0"/>
        <w:jc w:val="both"/>
        <w:textAlignment w:val="center"/>
        <w:rPr>
          <w:rFonts w:asciiTheme="minorHAnsi" w:eastAsia="Times New Roman" w:hAnsiTheme="minorHAnsi" w:cstheme="minorHAnsi"/>
          <w:lang w:val="en-US"/>
        </w:rPr>
      </w:pPr>
      <w:r w:rsidRPr="003925AA">
        <w:rPr>
          <w:rFonts w:asciiTheme="minorHAnsi" w:eastAsia="Times New Roman" w:hAnsiTheme="minorHAnsi" w:cstheme="minorHAnsi"/>
          <w:b/>
          <w:bCs/>
          <w:lang w:val="en-US"/>
        </w:rPr>
        <w:t>Case d:</w:t>
      </w:r>
      <w:r w:rsidRPr="003925AA">
        <w:rPr>
          <w:rFonts w:asciiTheme="minorHAnsi" w:eastAsia="Times New Roman" w:hAnsiTheme="minorHAnsi" w:cstheme="minorHAnsi"/>
          <w:lang w:val="en-US"/>
        </w:rPr>
        <w:t xml:space="preserve"> Failure case for CHO based recovery failure after fast MCG recovery failure</w:t>
      </w:r>
    </w:p>
    <w:p w14:paraId="0FCF751F" w14:textId="18873D42" w:rsidR="002B0CFE" w:rsidRPr="003925AA" w:rsidRDefault="002B0CFE" w:rsidP="003925AA">
      <w:pPr>
        <w:pStyle w:val="af2"/>
        <w:numPr>
          <w:ilvl w:val="0"/>
          <w:numId w:val="21"/>
        </w:numPr>
        <w:spacing w:after="0"/>
        <w:ind w:firstLineChars="0"/>
        <w:jc w:val="both"/>
        <w:textAlignment w:val="center"/>
        <w:rPr>
          <w:rFonts w:asciiTheme="minorHAnsi" w:eastAsia="Times New Roman" w:hAnsiTheme="minorHAnsi" w:cstheme="minorHAnsi"/>
          <w:lang w:val="en-US"/>
        </w:rPr>
      </w:pPr>
      <w:r w:rsidRPr="003925AA">
        <w:rPr>
          <w:rFonts w:asciiTheme="minorHAnsi" w:eastAsia="Times New Roman" w:hAnsiTheme="minorHAnsi" w:cstheme="minorHAnsi"/>
          <w:b/>
          <w:bCs/>
          <w:lang w:val="en-US"/>
        </w:rPr>
        <w:t>Case e</w:t>
      </w:r>
      <w:r w:rsidRPr="003925AA">
        <w:rPr>
          <w:rFonts w:asciiTheme="minorHAnsi" w:eastAsia="Times New Roman" w:hAnsiTheme="minorHAnsi" w:cstheme="minorHAnsi"/>
          <w:lang w:val="en-US"/>
        </w:rPr>
        <w:t>: Subsequent failure after successful fast MCG recovery.</w:t>
      </w:r>
    </w:p>
    <w:p w14:paraId="6213A001" w14:textId="77777777" w:rsidR="003925AA" w:rsidRPr="003925AA" w:rsidRDefault="00871B68" w:rsidP="003925AA">
      <w:pPr>
        <w:jc w:val="both"/>
        <w:rPr>
          <w:rFonts w:asciiTheme="minorHAnsi" w:eastAsiaTheme="minorEastAsia" w:hAnsiTheme="minorHAnsi" w:cstheme="minorHAnsi"/>
          <w:lang w:val="en-US" w:eastAsia="zh-CN"/>
        </w:rPr>
      </w:pPr>
      <w:r w:rsidRPr="003925AA">
        <w:rPr>
          <w:rFonts w:asciiTheme="minorHAnsi" w:eastAsiaTheme="minorEastAsia" w:hAnsiTheme="minorHAnsi" w:cstheme="minorHAnsi"/>
          <w:lang w:val="en-US" w:eastAsia="zh-CN"/>
        </w:rPr>
        <w:t>For case C, it is a near failure case,</w:t>
      </w:r>
      <w:r w:rsidR="003925AA" w:rsidRPr="003925AA">
        <w:rPr>
          <w:rFonts w:asciiTheme="minorHAnsi" w:eastAsiaTheme="minorEastAsia" w:hAnsiTheme="minorHAnsi" w:cstheme="minorHAnsi"/>
          <w:lang w:val="en-US" w:eastAsia="zh-CN"/>
        </w:rPr>
        <w:t xml:space="preserve"> which is not a real failure case. Therefore, case C is kind of out of the scope of this work item, which should not be considered. Similarly for case D, CHO based recovery failure is the case after fast MCG recovery, whereas it is not within the scope of this WID. </w:t>
      </w:r>
    </w:p>
    <w:p w14:paraId="70A8B617" w14:textId="65BF613B" w:rsidR="003925AA" w:rsidRPr="003925AA" w:rsidRDefault="003925AA" w:rsidP="003925AA">
      <w:pPr>
        <w:jc w:val="both"/>
        <w:rPr>
          <w:rFonts w:asciiTheme="minorHAnsi" w:eastAsiaTheme="minorEastAsia" w:hAnsiTheme="minorHAnsi" w:cstheme="minorHAnsi"/>
          <w:lang w:val="en-US" w:eastAsia="zh-CN"/>
        </w:rPr>
      </w:pPr>
      <w:r w:rsidRPr="003925AA">
        <w:rPr>
          <w:rFonts w:asciiTheme="minorHAnsi" w:eastAsiaTheme="minorEastAsia" w:hAnsiTheme="minorHAnsi" w:cstheme="minorHAnsi"/>
          <w:lang w:val="en-US" w:eastAsia="zh-CN"/>
        </w:rPr>
        <w:t>Last but not least, for case e, when subsequent failure happens, the legacy MRO failure operations can still be used. Therefore, we do not see any needs to further enhance this case.</w:t>
      </w:r>
    </w:p>
    <w:p w14:paraId="7A01F6BC" w14:textId="350BA42E" w:rsidR="003925AA" w:rsidRPr="003925AA" w:rsidRDefault="003925AA" w:rsidP="003925AA">
      <w:pPr>
        <w:jc w:val="both"/>
        <w:rPr>
          <w:rFonts w:asciiTheme="minorHAnsi" w:eastAsiaTheme="minorEastAsia" w:hAnsiTheme="minorHAnsi" w:cstheme="minorHAnsi"/>
          <w:lang w:val="en-US" w:eastAsia="zh-CN"/>
        </w:rPr>
      </w:pPr>
      <w:r w:rsidRPr="003925AA">
        <w:rPr>
          <w:rFonts w:asciiTheme="minorHAnsi" w:eastAsiaTheme="minorEastAsia" w:hAnsiTheme="minorHAnsi" w:cstheme="minorHAnsi"/>
          <w:lang w:val="en-US" w:eastAsia="zh-CN"/>
        </w:rPr>
        <w:t>As a conclusion, there is no need to include other cases.</w:t>
      </w:r>
    </w:p>
    <w:p w14:paraId="434EB0F8" w14:textId="74485BFD" w:rsidR="00871B68" w:rsidRPr="003925AA" w:rsidRDefault="003925AA" w:rsidP="002B0CFE">
      <w:pPr>
        <w:pStyle w:val="ProposalStyle"/>
        <w:jc w:val="both"/>
        <w:rPr>
          <w:lang w:val="en-US"/>
        </w:rPr>
      </w:pPr>
      <w:bookmarkStart w:id="29" w:name="_Toc127178610"/>
      <w:bookmarkStart w:id="30" w:name="_Toc131665964"/>
      <w:bookmarkStart w:id="31" w:name="_Toc134544771"/>
      <w:r w:rsidRPr="003925AA">
        <w:rPr>
          <w:lang w:val="en-US"/>
        </w:rPr>
        <w:t>No other case should be included for the MRO for fast MCG recovery</w:t>
      </w:r>
      <w:bookmarkEnd w:id="29"/>
      <w:bookmarkEnd w:id="30"/>
      <w:bookmarkEnd w:id="31"/>
    </w:p>
    <w:p w14:paraId="7B4F7888" w14:textId="1483948C" w:rsidR="003925AA" w:rsidRDefault="00545E00" w:rsidP="002F1801">
      <w:pPr>
        <w:jc w:val="both"/>
        <w:rPr>
          <w:rFonts w:ascii="Calibri" w:eastAsiaTheme="minorEastAsia" w:hAnsi="Calibri" w:cs="Calibri"/>
          <w:lang w:val="en-US" w:eastAsia="zh-CN"/>
        </w:rPr>
      </w:pPr>
      <w:r>
        <w:rPr>
          <w:rFonts w:ascii="Calibri" w:eastAsiaTheme="minorEastAsia" w:hAnsi="Calibri" w:cs="Calibri" w:hint="cs"/>
          <w:lang w:val="en-US" w:eastAsia="zh-CN"/>
        </w:rPr>
        <w:t>R</w:t>
      </w:r>
      <w:r>
        <w:rPr>
          <w:rFonts w:ascii="Calibri" w:eastAsiaTheme="minorEastAsia" w:hAnsi="Calibri" w:cs="Calibri"/>
          <w:lang w:val="en-US" w:eastAsia="zh-CN"/>
        </w:rPr>
        <w:t>egarding on what kind of information should be reported by the UE for fast MCG recovery, at least the PSCell where SCG failure happened should be reported. In addition, if UE encounters SCG RLF during Fast MCG Recovery attempt, it should also report the SCG RLF failure type, e.g. synchoReconfigFailureSCG, scg-ReconfigFailure, srb3-IntegrityFailure. Also, some companies mentioned that if SCG failure occurs before the UE sends the MCGFailureInformation to the MN, the MCGFailureInformation cannot be sent to MN or SN directly, then it should be send to a new NG-RAN node via the RLF report</w:t>
      </w:r>
      <w:r>
        <w:rPr>
          <w:rFonts w:ascii="Calibri" w:eastAsiaTheme="minorEastAsia" w:hAnsi="Calibri" w:cs="Calibri" w:hint="eastAsia"/>
          <w:lang w:val="en-US" w:eastAsia="zh-CN"/>
        </w:rPr>
        <w:t>.</w:t>
      </w:r>
      <w:r>
        <w:rPr>
          <w:rFonts w:ascii="Calibri" w:eastAsiaTheme="minorEastAsia" w:hAnsi="Calibri" w:cs="Calibri"/>
          <w:lang w:val="en-US" w:eastAsia="zh-CN"/>
        </w:rPr>
        <w:t xml:space="preserve"> Then, the new NG-RAN node is able to send the MCGFailureInformation to the MN for root cause analysis. Otherwise, the MN will never receive the MCGFailureInformation</w:t>
      </w:r>
      <w:r w:rsidR="002F1801">
        <w:rPr>
          <w:rFonts w:ascii="Calibri" w:eastAsiaTheme="minorEastAsia" w:hAnsi="Calibri" w:cs="Calibri"/>
          <w:lang w:val="en-US" w:eastAsia="zh-CN"/>
        </w:rPr>
        <w:t xml:space="preserve">. However, we think it is somehow necessary, since UE already sent the SCG RLF failure indication (SCG RLF failure) towards network, if MN receive such SCG RLF failure while does not receive MCGFailureInformation, it should know the time being for UE encountering SCG RLF is before the UE sends the MCGFailureInforamtion to the MN. Therefore, if the MN would like to perform root cause analysis, it will request UE to resend the MCGFailureInformation, whereas the signaling overhead can be saved. </w:t>
      </w:r>
    </w:p>
    <w:p w14:paraId="16E67F3A" w14:textId="5013D370" w:rsidR="002F1801" w:rsidRDefault="002F1801" w:rsidP="002F1801">
      <w:pPr>
        <w:pStyle w:val="ProposalStyle"/>
        <w:rPr>
          <w:lang w:val="en-US"/>
        </w:rPr>
      </w:pPr>
      <w:bookmarkStart w:id="32" w:name="_Toc131665965"/>
      <w:bookmarkStart w:id="33" w:name="_Toc134544772"/>
      <w:r>
        <w:rPr>
          <w:rFonts w:hint="eastAsia"/>
          <w:lang w:val="en-US"/>
        </w:rPr>
        <w:t>U</w:t>
      </w:r>
      <w:r>
        <w:rPr>
          <w:lang w:val="en-US"/>
        </w:rPr>
        <w:t>E should report the PSCell where SCG failure happened, as well as SCG RLF failure type towards network for fast MCG recovery.</w:t>
      </w:r>
      <w:bookmarkEnd w:id="32"/>
      <w:bookmarkEnd w:id="33"/>
    </w:p>
    <w:p w14:paraId="23A33D77" w14:textId="1C288B12" w:rsidR="002F1801" w:rsidRDefault="002F1801" w:rsidP="002F1801">
      <w:pPr>
        <w:pStyle w:val="ProposalStyle"/>
        <w:rPr>
          <w:lang w:val="en-US"/>
        </w:rPr>
      </w:pPr>
      <w:bookmarkStart w:id="34" w:name="_Toc131665966"/>
      <w:bookmarkStart w:id="35" w:name="_Toc134544773"/>
      <w:r>
        <w:rPr>
          <w:lang w:val="en-US"/>
        </w:rPr>
        <w:t>UE does not need to report MCGFailureInformation towards network for fast MCG recovery.</w:t>
      </w:r>
      <w:bookmarkEnd w:id="34"/>
      <w:bookmarkEnd w:id="35"/>
    </w:p>
    <w:p w14:paraId="59450D24" w14:textId="42E63019" w:rsidR="00D265F4" w:rsidRPr="00BF2752" w:rsidRDefault="007C1C88" w:rsidP="00BF2752">
      <w:pPr>
        <w:jc w:val="both"/>
        <w:rPr>
          <w:rFonts w:asciiTheme="minorHAnsi" w:eastAsiaTheme="minorEastAsia" w:hAnsiTheme="minorHAnsi"/>
          <w:lang w:val="en-US" w:eastAsia="zh-CN"/>
        </w:rPr>
      </w:pPr>
      <w:r w:rsidRPr="00BF2752">
        <w:rPr>
          <w:rFonts w:asciiTheme="minorHAnsi" w:eastAsiaTheme="minorEastAsia" w:hAnsiTheme="minorHAnsi"/>
          <w:lang w:val="en-US" w:eastAsia="zh-CN"/>
        </w:rPr>
        <w:t xml:space="preserve">During last meeting, </w:t>
      </w:r>
      <w:r w:rsidR="00EE6B57" w:rsidRPr="00BF2752">
        <w:rPr>
          <w:rFonts w:asciiTheme="minorHAnsi" w:eastAsiaTheme="minorEastAsia" w:hAnsiTheme="minorHAnsi"/>
          <w:lang w:val="en-US" w:eastAsia="zh-CN"/>
        </w:rPr>
        <w:t xml:space="preserve">one of the remaining </w:t>
      </w:r>
      <w:proofErr w:type="gramStart"/>
      <w:r w:rsidR="00EE6B57" w:rsidRPr="00BF2752">
        <w:rPr>
          <w:rFonts w:asciiTheme="minorHAnsi" w:eastAsiaTheme="minorEastAsia" w:hAnsiTheme="minorHAnsi"/>
          <w:lang w:val="en-US" w:eastAsia="zh-CN"/>
        </w:rPr>
        <w:t>issue</w:t>
      </w:r>
      <w:proofErr w:type="gramEnd"/>
      <w:r w:rsidR="00EE6B57" w:rsidRPr="00BF2752">
        <w:rPr>
          <w:rFonts w:asciiTheme="minorHAnsi" w:eastAsiaTheme="minorEastAsia" w:hAnsiTheme="minorHAnsi"/>
          <w:lang w:val="en-US" w:eastAsia="zh-CN"/>
        </w:rPr>
        <w:t xml:space="preserve"> left, which is whether to transfer T316 from the MN to the SN to support the MRO for the fast MCG recovery Rel-</w:t>
      </w:r>
      <w:r w:rsidR="009A0471" w:rsidRPr="00BF2752">
        <w:rPr>
          <w:rFonts w:asciiTheme="minorHAnsi" w:eastAsiaTheme="minorEastAsia" w:hAnsiTheme="minorHAnsi"/>
          <w:lang w:val="en-US" w:eastAsia="zh-CN"/>
        </w:rPr>
        <w:t xml:space="preserve">18 scenarios for pre-Rel 18 UEs or Uu resource usage optimization. From our view, at current stage, the motivation </w:t>
      </w:r>
      <w:r w:rsidR="00AC25C6" w:rsidRPr="00BF2752">
        <w:rPr>
          <w:rFonts w:asciiTheme="minorHAnsi" w:eastAsiaTheme="minorEastAsia" w:hAnsiTheme="minorHAnsi"/>
          <w:lang w:val="en-US" w:eastAsia="zh-CN"/>
        </w:rPr>
        <w:t xml:space="preserve">of such optimization is not clear due to it is not a must for </w:t>
      </w:r>
      <w:proofErr w:type="gramStart"/>
      <w:r w:rsidR="00AC25C6" w:rsidRPr="00BF2752">
        <w:rPr>
          <w:rFonts w:asciiTheme="minorHAnsi" w:eastAsiaTheme="minorEastAsia" w:hAnsiTheme="minorHAnsi"/>
          <w:lang w:val="en-US" w:eastAsia="zh-CN"/>
        </w:rPr>
        <w:t>Pre-Rel</w:t>
      </w:r>
      <w:proofErr w:type="gramEnd"/>
      <w:r w:rsidR="00AC25C6" w:rsidRPr="00BF2752">
        <w:rPr>
          <w:rFonts w:asciiTheme="minorHAnsi" w:eastAsiaTheme="minorEastAsia" w:hAnsiTheme="minorHAnsi"/>
          <w:lang w:val="en-US" w:eastAsia="zh-CN"/>
        </w:rPr>
        <w:t xml:space="preserve"> 18 UE to support the Rel-18 fast MCG recovery scenarios. Thus, such </w:t>
      </w:r>
      <w:r w:rsidR="00546A16" w:rsidRPr="00BF2752">
        <w:rPr>
          <w:rFonts w:asciiTheme="minorHAnsi" w:eastAsiaTheme="minorEastAsia" w:hAnsiTheme="minorHAnsi"/>
          <w:lang w:val="en-US" w:eastAsia="zh-CN"/>
        </w:rPr>
        <w:t>optimization may just involve unnecessary signalling overhead.</w:t>
      </w:r>
    </w:p>
    <w:p w14:paraId="13D0101E" w14:textId="2A93C8A2" w:rsidR="00546A16" w:rsidRPr="00BF2752" w:rsidRDefault="00546A16" w:rsidP="00BF2752">
      <w:pPr>
        <w:jc w:val="both"/>
        <w:rPr>
          <w:rFonts w:asciiTheme="minorHAnsi" w:eastAsiaTheme="minorEastAsia" w:hAnsiTheme="minorHAnsi"/>
          <w:lang w:val="en-US" w:eastAsia="zh-CN"/>
        </w:rPr>
      </w:pPr>
      <w:r w:rsidRPr="00BF2752">
        <w:rPr>
          <w:rFonts w:asciiTheme="minorHAnsi" w:eastAsiaTheme="minorEastAsia" w:hAnsiTheme="minorHAnsi"/>
          <w:lang w:val="en-US" w:eastAsia="zh-CN"/>
        </w:rPr>
        <w:t>Therefore, it is not suggested to transfer T316</w:t>
      </w:r>
      <w:r w:rsidR="00BF2752" w:rsidRPr="00BF2752">
        <w:rPr>
          <w:rFonts w:asciiTheme="minorHAnsi" w:eastAsiaTheme="minorEastAsia" w:hAnsiTheme="minorHAnsi"/>
          <w:lang w:val="en-US" w:eastAsia="zh-CN"/>
        </w:rPr>
        <w:t xml:space="preserve"> from the MN to the SN to support the MRO for the fast MCG recovery Rel-18 scenarios for pre-Rel-18 UE or Uu resource usage optimization.</w:t>
      </w:r>
    </w:p>
    <w:p w14:paraId="0284C6D2" w14:textId="58BC96C4" w:rsidR="00BF2752" w:rsidRPr="007C1C88" w:rsidRDefault="00BF2752" w:rsidP="00BF2752">
      <w:pPr>
        <w:pStyle w:val="ProposalStyle"/>
        <w:rPr>
          <w:lang w:val="en-US"/>
        </w:rPr>
      </w:pPr>
      <w:bookmarkStart w:id="36" w:name="_Toc134544774"/>
      <w:r>
        <w:rPr>
          <w:rFonts w:hint="eastAsia"/>
          <w:lang w:val="en-US"/>
        </w:rPr>
        <w:t>I</w:t>
      </w:r>
      <w:r>
        <w:rPr>
          <w:lang w:val="en-US"/>
        </w:rPr>
        <w:t>t is not suggested to transfer T316 from the MN to the SN to support the MRO for the fast MCG recover Rel-18 scenarios for pre Rel-18 UE or Uu resource usage optimization.</w:t>
      </w:r>
      <w:bookmarkEnd w:id="36"/>
    </w:p>
    <w:p w14:paraId="591324FC" w14:textId="77777777" w:rsidR="00501135" w:rsidRPr="007A1EB3" w:rsidRDefault="00501135">
      <w:pPr>
        <w:pStyle w:val="1"/>
        <w:rPr>
          <w:rFonts w:asciiTheme="minorHAnsi" w:hAnsiTheme="minorHAnsi" w:cstheme="minorHAnsi"/>
        </w:rPr>
      </w:pPr>
      <w:r w:rsidRPr="007A1EB3">
        <w:rPr>
          <w:rFonts w:asciiTheme="minorHAnsi" w:hAnsiTheme="minorHAnsi" w:cstheme="minorHAnsi"/>
        </w:rPr>
        <w:lastRenderedPageBreak/>
        <w:t>3</w:t>
      </w:r>
      <w:r w:rsidRPr="007A1EB3">
        <w:rPr>
          <w:rFonts w:asciiTheme="minorHAnsi" w:hAnsiTheme="minorHAnsi" w:cstheme="minorHAnsi"/>
        </w:rPr>
        <w:tab/>
      </w:r>
      <w:r w:rsidR="0001024C" w:rsidRPr="007A1EB3">
        <w:rPr>
          <w:rFonts w:asciiTheme="minorHAnsi" w:hAnsiTheme="minorHAnsi" w:cstheme="minorHAnsi"/>
        </w:rPr>
        <w:t>Conclusion and Proposals</w:t>
      </w:r>
      <w:bookmarkEnd w:id="19"/>
      <w:bookmarkEnd w:id="20"/>
      <w:bookmarkEnd w:id="21"/>
      <w:bookmarkEnd w:id="22"/>
      <w:bookmarkEnd w:id="23"/>
      <w:bookmarkEnd w:id="24"/>
      <w:bookmarkEnd w:id="25"/>
      <w:bookmarkEnd w:id="26"/>
      <w:bookmarkEnd w:id="27"/>
    </w:p>
    <w:p w14:paraId="3E02E4C0" w14:textId="5BBA35A9" w:rsidR="00CD7395" w:rsidRDefault="003925AA" w:rsidP="00CA311A">
      <w:pPr>
        <w:pStyle w:val="Eyecatcher"/>
        <w:ind w:left="0" w:firstLine="0"/>
        <w:jc w:val="both"/>
        <w:rPr>
          <w:rFonts w:asciiTheme="minorHAnsi" w:eastAsiaTheme="minorEastAsia" w:hAnsiTheme="minorHAnsi" w:cstheme="minorHAnsi"/>
          <w:b w:val="0"/>
          <w:kern w:val="2"/>
          <w:sz w:val="21"/>
          <w:lang w:eastAsia="zh-CN"/>
        </w:rPr>
      </w:pPr>
      <w:r>
        <w:rPr>
          <w:rFonts w:asciiTheme="minorHAnsi" w:eastAsiaTheme="minorEastAsia" w:hAnsiTheme="minorHAnsi" w:cstheme="minorHAnsi" w:hint="eastAsia"/>
          <w:b w:val="0"/>
          <w:kern w:val="2"/>
          <w:sz w:val="21"/>
          <w:lang w:eastAsia="zh-CN"/>
        </w:rPr>
        <w:t>I</w:t>
      </w:r>
      <w:r>
        <w:rPr>
          <w:rFonts w:asciiTheme="minorHAnsi" w:eastAsiaTheme="minorEastAsia" w:hAnsiTheme="minorHAnsi" w:cstheme="minorHAnsi"/>
          <w:b w:val="0"/>
          <w:kern w:val="2"/>
          <w:sz w:val="21"/>
          <w:lang w:eastAsia="zh-CN"/>
        </w:rPr>
        <w:t>n this contribution, we have analysed other potential cases which may be included in the MRO for fast MCG recovery</w:t>
      </w:r>
      <w:r w:rsidR="003E6E78">
        <w:rPr>
          <w:rFonts w:asciiTheme="minorHAnsi" w:eastAsiaTheme="minorEastAsia" w:hAnsiTheme="minorHAnsi" w:cstheme="minorHAnsi"/>
          <w:b w:val="0"/>
          <w:kern w:val="2"/>
          <w:sz w:val="21"/>
          <w:lang w:eastAsia="zh-CN"/>
        </w:rPr>
        <w:t>, as well as some necessary information should be reported for fast MCG recovery,</w:t>
      </w:r>
      <w:r>
        <w:rPr>
          <w:rFonts w:asciiTheme="minorHAnsi" w:eastAsiaTheme="minorEastAsia" w:hAnsiTheme="minorHAnsi" w:cstheme="minorHAnsi"/>
          <w:b w:val="0"/>
          <w:kern w:val="2"/>
          <w:sz w:val="21"/>
          <w:lang w:eastAsia="zh-CN"/>
        </w:rPr>
        <w:t xml:space="preserve"> and the following proposal</w:t>
      </w:r>
      <w:r w:rsidR="003E6E78">
        <w:rPr>
          <w:rFonts w:asciiTheme="minorHAnsi" w:eastAsiaTheme="minorEastAsia" w:hAnsiTheme="minorHAnsi" w:cstheme="minorHAnsi"/>
          <w:b w:val="0"/>
          <w:kern w:val="2"/>
          <w:sz w:val="21"/>
          <w:lang w:eastAsia="zh-CN"/>
        </w:rPr>
        <w:t>s</w:t>
      </w:r>
      <w:r>
        <w:rPr>
          <w:rFonts w:asciiTheme="minorHAnsi" w:eastAsiaTheme="minorEastAsia" w:hAnsiTheme="minorHAnsi" w:cstheme="minorHAnsi"/>
          <w:b w:val="0"/>
          <w:kern w:val="2"/>
          <w:sz w:val="21"/>
          <w:lang w:eastAsia="zh-CN"/>
        </w:rPr>
        <w:t xml:space="preserve"> has been given out:</w:t>
      </w:r>
    </w:p>
    <w:p w14:paraId="0A05276A" w14:textId="77777777" w:rsidR="00BF2752" w:rsidRPr="00BF2752" w:rsidRDefault="00783749">
      <w:pPr>
        <w:pStyle w:val="TOC1"/>
        <w:tabs>
          <w:tab w:val="left" w:pos="1260"/>
          <w:tab w:val="right" w:leader="dot" w:pos="9962"/>
        </w:tabs>
        <w:rPr>
          <w:rFonts w:asciiTheme="minorHAnsi" w:eastAsiaTheme="minorEastAsia" w:hAnsiTheme="minorHAnsi" w:cstheme="minorBidi"/>
          <w:b/>
          <w:bCs w:val="0"/>
          <w:kern w:val="2"/>
          <w:sz w:val="21"/>
        </w:rPr>
      </w:pPr>
      <w:r w:rsidRPr="00BF2752">
        <w:rPr>
          <w:rFonts w:asciiTheme="minorHAnsi" w:eastAsiaTheme="minorEastAsia" w:hAnsiTheme="minorHAnsi" w:cs="Calibri"/>
          <w:b/>
          <w:bCs w:val="0"/>
          <w:kern w:val="2"/>
          <w:szCs w:val="20"/>
        </w:rPr>
        <w:fldChar w:fldCharType="begin"/>
      </w:r>
      <w:r w:rsidRPr="00BF2752">
        <w:rPr>
          <w:rFonts w:asciiTheme="minorHAnsi" w:eastAsiaTheme="minorEastAsia" w:hAnsiTheme="minorHAnsi" w:cs="Calibri"/>
          <w:b/>
          <w:bCs w:val="0"/>
          <w:kern w:val="2"/>
          <w:szCs w:val="20"/>
        </w:rPr>
        <w:instrText xml:space="preserve"> TOC \n \t "ProposalStyle,1" </w:instrText>
      </w:r>
      <w:r w:rsidRPr="00BF2752">
        <w:rPr>
          <w:rFonts w:asciiTheme="minorHAnsi" w:eastAsiaTheme="minorEastAsia" w:hAnsiTheme="minorHAnsi" w:cs="Calibri"/>
          <w:b/>
          <w:bCs w:val="0"/>
          <w:kern w:val="2"/>
          <w:szCs w:val="20"/>
        </w:rPr>
        <w:fldChar w:fldCharType="separate"/>
      </w:r>
      <w:r w:rsidR="00BF2752" w:rsidRPr="00BF2752">
        <w:rPr>
          <w:rFonts w:asciiTheme="minorHAnsi" w:hAnsiTheme="minorHAnsi"/>
          <w:b/>
          <w:bCs w:val="0"/>
        </w:rPr>
        <w:t>Proposal1.</w:t>
      </w:r>
      <w:r w:rsidR="00BF2752" w:rsidRPr="00BF2752">
        <w:rPr>
          <w:rFonts w:asciiTheme="minorHAnsi" w:eastAsiaTheme="minorEastAsia" w:hAnsiTheme="minorHAnsi" w:cstheme="minorBidi"/>
          <w:b/>
          <w:bCs w:val="0"/>
          <w:kern w:val="2"/>
          <w:sz w:val="21"/>
        </w:rPr>
        <w:tab/>
      </w:r>
      <w:r w:rsidR="00BF2752" w:rsidRPr="00BF2752">
        <w:rPr>
          <w:rFonts w:asciiTheme="minorHAnsi" w:hAnsiTheme="minorHAnsi"/>
          <w:b/>
          <w:bCs w:val="0"/>
        </w:rPr>
        <w:t>No other case should be included for the MRO for fast MCG recovery</w:t>
      </w:r>
    </w:p>
    <w:p w14:paraId="02C5D093" w14:textId="77777777" w:rsidR="00BF2752" w:rsidRPr="00BF2752" w:rsidRDefault="00BF2752">
      <w:pPr>
        <w:pStyle w:val="TOC1"/>
        <w:tabs>
          <w:tab w:val="left" w:pos="1260"/>
          <w:tab w:val="right" w:leader="dot" w:pos="9962"/>
        </w:tabs>
        <w:rPr>
          <w:rFonts w:asciiTheme="minorHAnsi" w:eastAsiaTheme="minorEastAsia" w:hAnsiTheme="minorHAnsi" w:cstheme="minorBidi"/>
          <w:b/>
          <w:bCs w:val="0"/>
          <w:kern w:val="2"/>
          <w:sz w:val="21"/>
        </w:rPr>
      </w:pPr>
      <w:r w:rsidRPr="00BF2752">
        <w:rPr>
          <w:rFonts w:asciiTheme="minorHAnsi" w:hAnsiTheme="minorHAnsi"/>
          <w:b/>
          <w:bCs w:val="0"/>
        </w:rPr>
        <w:t>Proposal2.</w:t>
      </w:r>
      <w:r w:rsidRPr="00BF2752">
        <w:rPr>
          <w:rFonts w:asciiTheme="minorHAnsi" w:eastAsiaTheme="minorEastAsia" w:hAnsiTheme="minorHAnsi" w:cstheme="minorBidi"/>
          <w:b/>
          <w:bCs w:val="0"/>
          <w:kern w:val="2"/>
          <w:sz w:val="21"/>
        </w:rPr>
        <w:tab/>
      </w:r>
      <w:r w:rsidRPr="00BF2752">
        <w:rPr>
          <w:rFonts w:asciiTheme="minorHAnsi" w:hAnsiTheme="minorHAnsi"/>
          <w:b/>
          <w:bCs w:val="0"/>
        </w:rPr>
        <w:t>UE should report the PSCell where SCG failure happened, as well as SCG RLF failure type towards network for fast MCG recovery.</w:t>
      </w:r>
    </w:p>
    <w:p w14:paraId="79DF3A51" w14:textId="77777777" w:rsidR="00BF2752" w:rsidRPr="00BF2752" w:rsidRDefault="00BF2752">
      <w:pPr>
        <w:pStyle w:val="TOC1"/>
        <w:tabs>
          <w:tab w:val="left" w:pos="1260"/>
          <w:tab w:val="right" w:leader="dot" w:pos="9962"/>
        </w:tabs>
        <w:rPr>
          <w:rFonts w:asciiTheme="minorHAnsi" w:eastAsiaTheme="minorEastAsia" w:hAnsiTheme="minorHAnsi" w:cstheme="minorBidi"/>
          <w:b/>
          <w:bCs w:val="0"/>
          <w:kern w:val="2"/>
          <w:sz w:val="21"/>
        </w:rPr>
      </w:pPr>
      <w:r w:rsidRPr="00BF2752">
        <w:rPr>
          <w:rFonts w:asciiTheme="minorHAnsi" w:hAnsiTheme="minorHAnsi"/>
          <w:b/>
          <w:bCs w:val="0"/>
        </w:rPr>
        <w:t>Proposal3.</w:t>
      </w:r>
      <w:r w:rsidRPr="00BF2752">
        <w:rPr>
          <w:rFonts w:asciiTheme="minorHAnsi" w:eastAsiaTheme="minorEastAsia" w:hAnsiTheme="minorHAnsi" w:cstheme="minorBidi"/>
          <w:b/>
          <w:bCs w:val="0"/>
          <w:kern w:val="2"/>
          <w:sz w:val="21"/>
        </w:rPr>
        <w:tab/>
      </w:r>
      <w:r w:rsidRPr="00BF2752">
        <w:rPr>
          <w:rFonts w:asciiTheme="minorHAnsi" w:hAnsiTheme="minorHAnsi"/>
          <w:b/>
          <w:bCs w:val="0"/>
        </w:rPr>
        <w:t>UE does not need to report MCGFailureInformation towards network for fast MCG recovery.</w:t>
      </w:r>
    </w:p>
    <w:p w14:paraId="03CD27FF" w14:textId="77777777" w:rsidR="00BF2752" w:rsidRPr="00BF2752" w:rsidRDefault="00BF2752">
      <w:pPr>
        <w:pStyle w:val="TOC1"/>
        <w:tabs>
          <w:tab w:val="left" w:pos="1260"/>
          <w:tab w:val="right" w:leader="dot" w:pos="9962"/>
        </w:tabs>
        <w:rPr>
          <w:rFonts w:asciiTheme="minorHAnsi" w:eastAsiaTheme="minorEastAsia" w:hAnsiTheme="minorHAnsi" w:cstheme="minorBidi"/>
          <w:b/>
          <w:bCs w:val="0"/>
          <w:kern w:val="2"/>
          <w:sz w:val="21"/>
        </w:rPr>
      </w:pPr>
      <w:r w:rsidRPr="00BF2752">
        <w:rPr>
          <w:rFonts w:asciiTheme="minorHAnsi" w:hAnsiTheme="minorHAnsi"/>
          <w:b/>
          <w:bCs w:val="0"/>
        </w:rPr>
        <w:t>Proposal4.</w:t>
      </w:r>
      <w:r w:rsidRPr="00BF2752">
        <w:rPr>
          <w:rFonts w:asciiTheme="minorHAnsi" w:eastAsiaTheme="minorEastAsia" w:hAnsiTheme="minorHAnsi" w:cstheme="minorBidi"/>
          <w:b/>
          <w:bCs w:val="0"/>
          <w:kern w:val="2"/>
          <w:sz w:val="21"/>
        </w:rPr>
        <w:tab/>
      </w:r>
      <w:r w:rsidRPr="00BF2752">
        <w:rPr>
          <w:rFonts w:asciiTheme="minorHAnsi" w:hAnsiTheme="minorHAnsi"/>
          <w:b/>
          <w:bCs w:val="0"/>
        </w:rPr>
        <w:t>It is not suggested to transfer T316 from the MN to the SN to support the MRO for the fast MCG recover Rel-18 scenarios for pre Rel-18 UE or Uu resource usage optimization.</w:t>
      </w:r>
    </w:p>
    <w:p w14:paraId="1DA5C99D" w14:textId="708421B3" w:rsidR="003925AA" w:rsidRPr="00CA311A" w:rsidRDefault="00783749" w:rsidP="00783749">
      <w:pPr>
        <w:pStyle w:val="Eyecatcher"/>
        <w:ind w:left="0" w:firstLine="0"/>
        <w:jc w:val="both"/>
        <w:rPr>
          <w:rFonts w:asciiTheme="minorHAnsi" w:eastAsiaTheme="minorEastAsia" w:hAnsiTheme="minorHAnsi" w:cstheme="minorHAnsi"/>
          <w:b w:val="0"/>
          <w:kern w:val="2"/>
          <w:sz w:val="21"/>
          <w:lang w:eastAsia="zh-CN"/>
        </w:rPr>
      </w:pPr>
      <w:r w:rsidRPr="00BF2752">
        <w:rPr>
          <w:rFonts w:asciiTheme="minorHAnsi" w:eastAsiaTheme="minorEastAsia" w:hAnsiTheme="minorHAnsi" w:cs="Calibri"/>
          <w:kern w:val="2"/>
          <w:lang w:eastAsia="zh-CN"/>
        </w:rPr>
        <w:fldChar w:fldCharType="end"/>
      </w:r>
    </w:p>
    <w:p w14:paraId="100E7817" w14:textId="77777777" w:rsidR="00501135" w:rsidRPr="004C20EC" w:rsidRDefault="00501135" w:rsidP="001601A9">
      <w:pPr>
        <w:pStyle w:val="1"/>
        <w:rPr>
          <w:rFonts w:asciiTheme="minorHAnsi" w:hAnsiTheme="minorHAnsi" w:cstheme="minorHAnsi"/>
          <w:lang w:eastAsia="ja-JP"/>
        </w:rPr>
      </w:pPr>
      <w:bookmarkStart w:id="37" w:name="_Toc527283433"/>
      <w:bookmarkStart w:id="38" w:name="_Toc527283650"/>
      <w:bookmarkStart w:id="39" w:name="_Toc527283679"/>
      <w:bookmarkStart w:id="40" w:name="_Toc527283743"/>
      <w:bookmarkStart w:id="41" w:name="_Toc527283747"/>
      <w:bookmarkStart w:id="42" w:name="_Toc527283909"/>
      <w:bookmarkStart w:id="43" w:name="_Toc527283926"/>
      <w:bookmarkStart w:id="44" w:name="_Toc126137456"/>
      <w:bookmarkStart w:id="45" w:name="_Toc126137561"/>
      <w:r w:rsidRPr="004C20EC">
        <w:rPr>
          <w:rFonts w:asciiTheme="minorHAnsi" w:hAnsiTheme="minorHAnsi" w:cstheme="minorHAnsi"/>
        </w:rPr>
        <w:t>4</w:t>
      </w:r>
      <w:r w:rsidRPr="004C20EC">
        <w:rPr>
          <w:rFonts w:asciiTheme="minorHAnsi" w:hAnsiTheme="minorHAnsi" w:cstheme="minorHAnsi"/>
        </w:rPr>
        <w:tab/>
        <w:t>References</w:t>
      </w:r>
      <w:bookmarkEnd w:id="37"/>
      <w:bookmarkEnd w:id="38"/>
      <w:bookmarkEnd w:id="39"/>
      <w:bookmarkEnd w:id="40"/>
      <w:bookmarkEnd w:id="41"/>
      <w:bookmarkEnd w:id="42"/>
      <w:bookmarkEnd w:id="43"/>
      <w:bookmarkEnd w:id="44"/>
      <w:bookmarkEnd w:id="45"/>
    </w:p>
    <w:bookmarkEnd w:id="28"/>
    <w:p w14:paraId="1621B1C5" w14:textId="33033A37" w:rsidR="00CD7395" w:rsidRPr="004C20EC" w:rsidRDefault="00CD7395" w:rsidP="00EF403A">
      <w:pPr>
        <w:pStyle w:val="Reference"/>
        <w:rPr>
          <w:rFonts w:asciiTheme="minorHAnsi" w:eastAsia="宋体" w:hAnsiTheme="minorHAnsi" w:cstheme="minorHAnsi"/>
          <w:lang w:eastAsia="zh-CN"/>
        </w:rPr>
      </w:pPr>
    </w:p>
    <w:sectPr w:rsidR="00CD7395" w:rsidRPr="004C20EC" w:rsidSect="00E71F43">
      <w:footerReference w:type="even" r:id="rId12"/>
      <w:footerReference w:type="default" r:id="rId13"/>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AD3319" w14:textId="77777777" w:rsidR="002F1801" w:rsidRDefault="002F1801">
      <w:r>
        <w:separator/>
      </w:r>
    </w:p>
  </w:endnote>
  <w:endnote w:type="continuationSeparator" w:id="0">
    <w:p w14:paraId="3C4E05BC" w14:textId="77777777" w:rsidR="002F1801" w:rsidRDefault="002F1801">
      <w:r>
        <w:continuationSeparator/>
      </w:r>
    </w:p>
  </w:endnote>
  <w:endnote w:type="continuationNotice" w:id="1">
    <w:p w14:paraId="3DD30B42" w14:textId="77777777" w:rsidR="002F1801" w:rsidRDefault="002F18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5D429" w14:textId="77777777" w:rsidR="002F1801" w:rsidRDefault="002F1801">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3FF913AB" w14:textId="77777777" w:rsidR="002F1801" w:rsidRDefault="002F1801">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C9F9C5" w14:textId="1F964E20" w:rsidR="002F1801" w:rsidRDefault="002F1801">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161F45">
      <w:rPr>
        <w:rStyle w:val="a7"/>
        <w:noProof/>
      </w:rPr>
      <w:t>2</w:t>
    </w:r>
    <w:r>
      <w:rPr>
        <w:rStyle w:val="a7"/>
      </w:rPr>
      <w:fldChar w:fldCharType="end"/>
    </w:r>
  </w:p>
  <w:p w14:paraId="1A7FF71A" w14:textId="77777777" w:rsidR="002F1801" w:rsidRDefault="002F1801">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F97911" w14:textId="77777777" w:rsidR="002F1801" w:rsidRDefault="002F1801">
      <w:r>
        <w:separator/>
      </w:r>
    </w:p>
  </w:footnote>
  <w:footnote w:type="continuationSeparator" w:id="0">
    <w:p w14:paraId="4106EE3A" w14:textId="77777777" w:rsidR="002F1801" w:rsidRDefault="002F1801">
      <w:r>
        <w:continuationSeparator/>
      </w:r>
    </w:p>
  </w:footnote>
  <w:footnote w:type="continuationNotice" w:id="1">
    <w:p w14:paraId="6340F555" w14:textId="77777777" w:rsidR="002F1801" w:rsidRDefault="002F180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F4A2D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9E45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E3888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490D2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60DE1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8C81A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442AB0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C201E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02034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D416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3295247"/>
    <w:multiLevelType w:val="hybridMultilevel"/>
    <w:tmpl w:val="BF8A820A"/>
    <w:lvl w:ilvl="0" w:tplc="40928EF6">
      <w:start w:val="1"/>
      <w:numFmt w:val="decimal"/>
      <w:pStyle w:val="ProposalStyle"/>
      <w:lvlText w:val="Proposal%1."/>
      <w:lvlJc w:val="left"/>
      <w:pPr>
        <w:ind w:left="420" w:hanging="420"/>
      </w:pPr>
      <w:rPr>
        <w:rFonts w:ascii="Calibri" w:hAnsi="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6C16CDF"/>
    <w:multiLevelType w:val="hybridMultilevel"/>
    <w:tmpl w:val="86C4A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C7F3DBD"/>
    <w:multiLevelType w:val="hybridMultilevel"/>
    <w:tmpl w:val="C1EABAA2"/>
    <w:lvl w:ilvl="0" w:tplc="559EEADC">
      <w:start w:val="1"/>
      <w:numFmt w:val="decimal"/>
      <w:pStyle w:val="ObservationStyle"/>
      <w:lvlText w:val="Observation %1."/>
      <w:lvlJc w:val="left"/>
      <w:pPr>
        <w:ind w:left="1697" w:hanging="420"/>
      </w:pPr>
      <w:rPr>
        <w:rFonts w:hint="eastAsia"/>
      </w:rPr>
    </w:lvl>
    <w:lvl w:ilvl="1" w:tplc="04090019" w:tentative="1">
      <w:start w:val="1"/>
      <w:numFmt w:val="lowerLetter"/>
      <w:lvlText w:val="%2)"/>
      <w:lvlJc w:val="left"/>
      <w:pPr>
        <w:ind w:left="2117" w:hanging="420"/>
      </w:pPr>
    </w:lvl>
    <w:lvl w:ilvl="2" w:tplc="0409001B" w:tentative="1">
      <w:start w:val="1"/>
      <w:numFmt w:val="lowerRoman"/>
      <w:lvlText w:val="%3."/>
      <w:lvlJc w:val="right"/>
      <w:pPr>
        <w:ind w:left="2537" w:hanging="420"/>
      </w:pPr>
    </w:lvl>
    <w:lvl w:ilvl="3" w:tplc="0409000F" w:tentative="1">
      <w:start w:val="1"/>
      <w:numFmt w:val="decimal"/>
      <w:lvlText w:val="%4."/>
      <w:lvlJc w:val="left"/>
      <w:pPr>
        <w:ind w:left="2957" w:hanging="420"/>
      </w:pPr>
    </w:lvl>
    <w:lvl w:ilvl="4" w:tplc="04090019" w:tentative="1">
      <w:start w:val="1"/>
      <w:numFmt w:val="lowerLetter"/>
      <w:lvlText w:val="%5)"/>
      <w:lvlJc w:val="left"/>
      <w:pPr>
        <w:ind w:left="3377" w:hanging="420"/>
      </w:pPr>
    </w:lvl>
    <w:lvl w:ilvl="5" w:tplc="0409001B" w:tentative="1">
      <w:start w:val="1"/>
      <w:numFmt w:val="lowerRoman"/>
      <w:lvlText w:val="%6."/>
      <w:lvlJc w:val="right"/>
      <w:pPr>
        <w:ind w:left="3797" w:hanging="420"/>
      </w:pPr>
    </w:lvl>
    <w:lvl w:ilvl="6" w:tplc="0409000F" w:tentative="1">
      <w:start w:val="1"/>
      <w:numFmt w:val="decimal"/>
      <w:lvlText w:val="%7."/>
      <w:lvlJc w:val="left"/>
      <w:pPr>
        <w:ind w:left="4217" w:hanging="420"/>
      </w:pPr>
    </w:lvl>
    <w:lvl w:ilvl="7" w:tplc="04090019" w:tentative="1">
      <w:start w:val="1"/>
      <w:numFmt w:val="lowerLetter"/>
      <w:lvlText w:val="%8)"/>
      <w:lvlJc w:val="left"/>
      <w:pPr>
        <w:ind w:left="4637" w:hanging="420"/>
      </w:pPr>
    </w:lvl>
    <w:lvl w:ilvl="8" w:tplc="0409001B" w:tentative="1">
      <w:start w:val="1"/>
      <w:numFmt w:val="lowerRoman"/>
      <w:lvlText w:val="%9."/>
      <w:lvlJc w:val="right"/>
      <w:pPr>
        <w:ind w:left="5057" w:hanging="42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C4B4776"/>
    <w:multiLevelType w:val="hybridMultilevel"/>
    <w:tmpl w:val="0EF29520"/>
    <w:lvl w:ilvl="0" w:tplc="BE426758">
      <w:start w:val="2"/>
      <w:numFmt w:val="bullet"/>
      <w:lvlText w:val="-"/>
      <w:lvlJc w:val="left"/>
      <w:pPr>
        <w:ind w:left="360" w:hanging="360"/>
      </w:pPr>
      <w:rPr>
        <w:rFonts w:ascii="Calibri" w:eastAsia="Times New Roman" w:hAnsi="Calibri" w:cs="Calibri"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7EA26A7"/>
    <w:multiLevelType w:val="hybridMultilevel"/>
    <w:tmpl w:val="35380DCA"/>
    <w:lvl w:ilvl="0" w:tplc="3834827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F326FE0"/>
    <w:multiLevelType w:val="multilevel"/>
    <w:tmpl w:val="73A603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F6168E"/>
    <w:multiLevelType w:val="multilevel"/>
    <w:tmpl w:val="54F6168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5BCE2687"/>
    <w:multiLevelType w:val="hybridMultilevel"/>
    <w:tmpl w:val="6598DE3E"/>
    <w:lvl w:ilvl="0" w:tplc="AEEE8CCC">
      <w:start w:val="1"/>
      <w:numFmt w:val="decimal"/>
      <w:lvlText w:val="Observation%1."/>
      <w:lvlJc w:val="left"/>
      <w:pPr>
        <w:ind w:left="420" w:hanging="4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4B92A1B"/>
    <w:multiLevelType w:val="multilevel"/>
    <w:tmpl w:val="74B92A1B"/>
    <w:lvl w:ilvl="0">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3"/>
  </w:num>
  <w:num w:numId="12">
    <w:abstractNumId w:val="17"/>
  </w:num>
  <w:num w:numId="13">
    <w:abstractNumId w:val="11"/>
  </w:num>
  <w:num w:numId="14">
    <w:abstractNumId w:val="16"/>
  </w:num>
  <w:num w:numId="15">
    <w:abstractNumId w:val="10"/>
  </w:num>
  <w:num w:numId="16">
    <w:abstractNumId w:val="19"/>
  </w:num>
  <w:num w:numId="17">
    <w:abstractNumId w:val="15"/>
  </w:num>
  <w:num w:numId="18">
    <w:abstractNumId w:val="12"/>
  </w:num>
  <w:num w:numId="19">
    <w:abstractNumId w:val="20"/>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1228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78A5"/>
    <w:rsid w:val="00001906"/>
    <w:rsid w:val="00003162"/>
    <w:rsid w:val="00004A98"/>
    <w:rsid w:val="00005AAB"/>
    <w:rsid w:val="0001024C"/>
    <w:rsid w:val="00010D88"/>
    <w:rsid w:val="00026DC1"/>
    <w:rsid w:val="000401B6"/>
    <w:rsid w:val="00046072"/>
    <w:rsid w:val="00051226"/>
    <w:rsid w:val="00051682"/>
    <w:rsid w:val="000640DF"/>
    <w:rsid w:val="000669A2"/>
    <w:rsid w:val="000719E7"/>
    <w:rsid w:val="00072310"/>
    <w:rsid w:val="00097C8A"/>
    <w:rsid w:val="000A05B2"/>
    <w:rsid w:val="000A0A38"/>
    <w:rsid w:val="000B318F"/>
    <w:rsid w:val="000B427F"/>
    <w:rsid w:val="000B7EE5"/>
    <w:rsid w:val="000C2BFF"/>
    <w:rsid w:val="000C4AFD"/>
    <w:rsid w:val="000E4169"/>
    <w:rsid w:val="000E665B"/>
    <w:rsid w:val="000F02C3"/>
    <w:rsid w:val="00112493"/>
    <w:rsid w:val="00117327"/>
    <w:rsid w:val="00122EA7"/>
    <w:rsid w:val="00126984"/>
    <w:rsid w:val="0014050A"/>
    <w:rsid w:val="001601A9"/>
    <w:rsid w:val="00161F45"/>
    <w:rsid w:val="00162A98"/>
    <w:rsid w:val="00195C35"/>
    <w:rsid w:val="001B1C2A"/>
    <w:rsid w:val="001D1142"/>
    <w:rsid w:val="001D1214"/>
    <w:rsid w:val="001D3360"/>
    <w:rsid w:val="00203C57"/>
    <w:rsid w:val="00203F86"/>
    <w:rsid w:val="002120CC"/>
    <w:rsid w:val="002174CA"/>
    <w:rsid w:val="002177A7"/>
    <w:rsid w:val="002300C6"/>
    <w:rsid w:val="00230764"/>
    <w:rsid w:val="002336F5"/>
    <w:rsid w:val="00237F7C"/>
    <w:rsid w:val="00243992"/>
    <w:rsid w:val="0024745D"/>
    <w:rsid w:val="00247F22"/>
    <w:rsid w:val="00273FAA"/>
    <w:rsid w:val="00284A5E"/>
    <w:rsid w:val="00294C24"/>
    <w:rsid w:val="002A6034"/>
    <w:rsid w:val="002A739F"/>
    <w:rsid w:val="002B0CFE"/>
    <w:rsid w:val="002D5ED6"/>
    <w:rsid w:val="002F0B69"/>
    <w:rsid w:val="002F1801"/>
    <w:rsid w:val="002F6422"/>
    <w:rsid w:val="0030568B"/>
    <w:rsid w:val="00305FE0"/>
    <w:rsid w:val="003111BA"/>
    <w:rsid w:val="00312F43"/>
    <w:rsid w:val="003229C8"/>
    <w:rsid w:val="0032308F"/>
    <w:rsid w:val="003514CE"/>
    <w:rsid w:val="00360F2F"/>
    <w:rsid w:val="00362FD6"/>
    <w:rsid w:val="003658DB"/>
    <w:rsid w:val="00383916"/>
    <w:rsid w:val="00383BAF"/>
    <w:rsid w:val="0038569B"/>
    <w:rsid w:val="003925AA"/>
    <w:rsid w:val="003978BB"/>
    <w:rsid w:val="003A0811"/>
    <w:rsid w:val="003A72C5"/>
    <w:rsid w:val="003A7669"/>
    <w:rsid w:val="003B1332"/>
    <w:rsid w:val="003B602E"/>
    <w:rsid w:val="003D108B"/>
    <w:rsid w:val="003D15C1"/>
    <w:rsid w:val="003E5ED6"/>
    <w:rsid w:val="003E6E78"/>
    <w:rsid w:val="003F04CA"/>
    <w:rsid w:val="003F438B"/>
    <w:rsid w:val="003F49ED"/>
    <w:rsid w:val="00412C70"/>
    <w:rsid w:val="00431125"/>
    <w:rsid w:val="00431174"/>
    <w:rsid w:val="0043235F"/>
    <w:rsid w:val="00434400"/>
    <w:rsid w:val="00436463"/>
    <w:rsid w:val="00440215"/>
    <w:rsid w:val="00440EB3"/>
    <w:rsid w:val="00452C1C"/>
    <w:rsid w:val="00456756"/>
    <w:rsid w:val="00456836"/>
    <w:rsid w:val="00463A76"/>
    <w:rsid w:val="00464F3D"/>
    <w:rsid w:val="00474F20"/>
    <w:rsid w:val="00475E6D"/>
    <w:rsid w:val="00485079"/>
    <w:rsid w:val="00492282"/>
    <w:rsid w:val="0049743E"/>
    <w:rsid w:val="004A605A"/>
    <w:rsid w:val="004B5A65"/>
    <w:rsid w:val="004C20EC"/>
    <w:rsid w:val="004E3A07"/>
    <w:rsid w:val="004E3AF3"/>
    <w:rsid w:val="004E60F0"/>
    <w:rsid w:val="004F4425"/>
    <w:rsid w:val="00501135"/>
    <w:rsid w:val="00506D99"/>
    <w:rsid w:val="00507D9D"/>
    <w:rsid w:val="00511F82"/>
    <w:rsid w:val="00523AA3"/>
    <w:rsid w:val="00543DB8"/>
    <w:rsid w:val="00545E00"/>
    <w:rsid w:val="00546A16"/>
    <w:rsid w:val="005475C5"/>
    <w:rsid w:val="005718AB"/>
    <w:rsid w:val="00580121"/>
    <w:rsid w:val="00583D2B"/>
    <w:rsid w:val="005855D2"/>
    <w:rsid w:val="00595500"/>
    <w:rsid w:val="005974F9"/>
    <w:rsid w:val="005A1D2C"/>
    <w:rsid w:val="005A727D"/>
    <w:rsid w:val="005B14C0"/>
    <w:rsid w:val="005C1208"/>
    <w:rsid w:val="005C6533"/>
    <w:rsid w:val="005D0EC8"/>
    <w:rsid w:val="005E193E"/>
    <w:rsid w:val="005E51D2"/>
    <w:rsid w:val="005E68AB"/>
    <w:rsid w:val="005F4585"/>
    <w:rsid w:val="005F6E30"/>
    <w:rsid w:val="00604237"/>
    <w:rsid w:val="0060423C"/>
    <w:rsid w:val="006103E2"/>
    <w:rsid w:val="00612679"/>
    <w:rsid w:val="00617344"/>
    <w:rsid w:val="00620E77"/>
    <w:rsid w:val="00621D84"/>
    <w:rsid w:val="006264D8"/>
    <w:rsid w:val="00631729"/>
    <w:rsid w:val="00631954"/>
    <w:rsid w:val="00633B30"/>
    <w:rsid w:val="00636165"/>
    <w:rsid w:val="006367F1"/>
    <w:rsid w:val="0064585D"/>
    <w:rsid w:val="00665891"/>
    <w:rsid w:val="006672CD"/>
    <w:rsid w:val="00671A7F"/>
    <w:rsid w:val="00692186"/>
    <w:rsid w:val="00697DD0"/>
    <w:rsid w:val="006A4516"/>
    <w:rsid w:val="006A461D"/>
    <w:rsid w:val="006A4FF6"/>
    <w:rsid w:val="006A693D"/>
    <w:rsid w:val="006C0235"/>
    <w:rsid w:val="006C70E8"/>
    <w:rsid w:val="006C7ADE"/>
    <w:rsid w:val="007159BF"/>
    <w:rsid w:val="0073451F"/>
    <w:rsid w:val="007433DE"/>
    <w:rsid w:val="007466BD"/>
    <w:rsid w:val="0077331B"/>
    <w:rsid w:val="00774222"/>
    <w:rsid w:val="00780301"/>
    <w:rsid w:val="0078034B"/>
    <w:rsid w:val="007828DC"/>
    <w:rsid w:val="00783749"/>
    <w:rsid w:val="0078635E"/>
    <w:rsid w:val="00786414"/>
    <w:rsid w:val="0079087F"/>
    <w:rsid w:val="00791307"/>
    <w:rsid w:val="0079764C"/>
    <w:rsid w:val="007A1EB3"/>
    <w:rsid w:val="007B3682"/>
    <w:rsid w:val="007B42A3"/>
    <w:rsid w:val="007C1C88"/>
    <w:rsid w:val="007C5F8D"/>
    <w:rsid w:val="007C6B7A"/>
    <w:rsid w:val="007D02E1"/>
    <w:rsid w:val="007D191A"/>
    <w:rsid w:val="007D41E9"/>
    <w:rsid w:val="007D451C"/>
    <w:rsid w:val="007D7FD9"/>
    <w:rsid w:val="007F3E85"/>
    <w:rsid w:val="007F669C"/>
    <w:rsid w:val="00805AD4"/>
    <w:rsid w:val="00843AF7"/>
    <w:rsid w:val="00853BBD"/>
    <w:rsid w:val="008609AD"/>
    <w:rsid w:val="0086759F"/>
    <w:rsid w:val="008700A3"/>
    <w:rsid w:val="00871B68"/>
    <w:rsid w:val="00873094"/>
    <w:rsid w:val="008775B7"/>
    <w:rsid w:val="008925B8"/>
    <w:rsid w:val="008953C3"/>
    <w:rsid w:val="008A4C1D"/>
    <w:rsid w:val="008A511A"/>
    <w:rsid w:val="008A647F"/>
    <w:rsid w:val="008B0AF2"/>
    <w:rsid w:val="008B0C05"/>
    <w:rsid w:val="008B4F57"/>
    <w:rsid w:val="008C7A1B"/>
    <w:rsid w:val="008E19D0"/>
    <w:rsid w:val="008E48CD"/>
    <w:rsid w:val="008F1B11"/>
    <w:rsid w:val="00906401"/>
    <w:rsid w:val="00907CF1"/>
    <w:rsid w:val="00937DD6"/>
    <w:rsid w:val="00953877"/>
    <w:rsid w:val="00954330"/>
    <w:rsid w:val="00954912"/>
    <w:rsid w:val="00964DB6"/>
    <w:rsid w:val="00965584"/>
    <w:rsid w:val="00967136"/>
    <w:rsid w:val="009813D8"/>
    <w:rsid w:val="009872F4"/>
    <w:rsid w:val="009928CD"/>
    <w:rsid w:val="00994162"/>
    <w:rsid w:val="009A0471"/>
    <w:rsid w:val="009A6292"/>
    <w:rsid w:val="009B012E"/>
    <w:rsid w:val="009B0AF3"/>
    <w:rsid w:val="009B0B0E"/>
    <w:rsid w:val="009E394B"/>
    <w:rsid w:val="009F59A2"/>
    <w:rsid w:val="009F6EC1"/>
    <w:rsid w:val="00A009DA"/>
    <w:rsid w:val="00A1281F"/>
    <w:rsid w:val="00A129B6"/>
    <w:rsid w:val="00A17E34"/>
    <w:rsid w:val="00A21703"/>
    <w:rsid w:val="00A336B8"/>
    <w:rsid w:val="00A44420"/>
    <w:rsid w:val="00A54A9E"/>
    <w:rsid w:val="00A57FBC"/>
    <w:rsid w:val="00A61C80"/>
    <w:rsid w:val="00A71A00"/>
    <w:rsid w:val="00A72A5B"/>
    <w:rsid w:val="00A8073C"/>
    <w:rsid w:val="00A86FBA"/>
    <w:rsid w:val="00A97481"/>
    <w:rsid w:val="00AA0ED3"/>
    <w:rsid w:val="00AA22F9"/>
    <w:rsid w:val="00AA3AC6"/>
    <w:rsid w:val="00AA6C9A"/>
    <w:rsid w:val="00AB4E41"/>
    <w:rsid w:val="00AC06CA"/>
    <w:rsid w:val="00AC25C6"/>
    <w:rsid w:val="00AE2347"/>
    <w:rsid w:val="00AE45A9"/>
    <w:rsid w:val="00AE77DE"/>
    <w:rsid w:val="00AF1555"/>
    <w:rsid w:val="00AF1A71"/>
    <w:rsid w:val="00AF780A"/>
    <w:rsid w:val="00B01617"/>
    <w:rsid w:val="00B06C16"/>
    <w:rsid w:val="00B117E3"/>
    <w:rsid w:val="00B13580"/>
    <w:rsid w:val="00B15DB4"/>
    <w:rsid w:val="00B231F4"/>
    <w:rsid w:val="00B329D3"/>
    <w:rsid w:val="00B43CF0"/>
    <w:rsid w:val="00B532EB"/>
    <w:rsid w:val="00B54A37"/>
    <w:rsid w:val="00B7329F"/>
    <w:rsid w:val="00B85C0E"/>
    <w:rsid w:val="00B868C5"/>
    <w:rsid w:val="00BA0C6E"/>
    <w:rsid w:val="00BA33CE"/>
    <w:rsid w:val="00BB35EA"/>
    <w:rsid w:val="00BB430F"/>
    <w:rsid w:val="00BB5F06"/>
    <w:rsid w:val="00BB7AD2"/>
    <w:rsid w:val="00BD509A"/>
    <w:rsid w:val="00BD588D"/>
    <w:rsid w:val="00BE4262"/>
    <w:rsid w:val="00BF2752"/>
    <w:rsid w:val="00BF2E54"/>
    <w:rsid w:val="00BF626B"/>
    <w:rsid w:val="00C04DB5"/>
    <w:rsid w:val="00C06704"/>
    <w:rsid w:val="00C17C56"/>
    <w:rsid w:val="00C2066C"/>
    <w:rsid w:val="00C33DA7"/>
    <w:rsid w:val="00C5112B"/>
    <w:rsid w:val="00C61AA7"/>
    <w:rsid w:val="00C6427D"/>
    <w:rsid w:val="00C70DF4"/>
    <w:rsid w:val="00C778A5"/>
    <w:rsid w:val="00C86FFE"/>
    <w:rsid w:val="00CA311A"/>
    <w:rsid w:val="00CB5951"/>
    <w:rsid w:val="00CC1F81"/>
    <w:rsid w:val="00CC2CAE"/>
    <w:rsid w:val="00CC4A38"/>
    <w:rsid w:val="00CD0FFD"/>
    <w:rsid w:val="00CD6923"/>
    <w:rsid w:val="00CD7395"/>
    <w:rsid w:val="00CE153C"/>
    <w:rsid w:val="00CE3F90"/>
    <w:rsid w:val="00CE6E79"/>
    <w:rsid w:val="00CF0789"/>
    <w:rsid w:val="00D0317F"/>
    <w:rsid w:val="00D115B3"/>
    <w:rsid w:val="00D11D2D"/>
    <w:rsid w:val="00D25476"/>
    <w:rsid w:val="00D265F4"/>
    <w:rsid w:val="00D371F0"/>
    <w:rsid w:val="00D37FA6"/>
    <w:rsid w:val="00D40511"/>
    <w:rsid w:val="00D53C0D"/>
    <w:rsid w:val="00D6753B"/>
    <w:rsid w:val="00D67DC3"/>
    <w:rsid w:val="00D7590A"/>
    <w:rsid w:val="00D75F06"/>
    <w:rsid w:val="00D80F19"/>
    <w:rsid w:val="00D8543C"/>
    <w:rsid w:val="00D91A1D"/>
    <w:rsid w:val="00D9600A"/>
    <w:rsid w:val="00D971BA"/>
    <w:rsid w:val="00DA191E"/>
    <w:rsid w:val="00DA1A8A"/>
    <w:rsid w:val="00DB5364"/>
    <w:rsid w:val="00DB797B"/>
    <w:rsid w:val="00DC3BE7"/>
    <w:rsid w:val="00DC53D2"/>
    <w:rsid w:val="00DD35C8"/>
    <w:rsid w:val="00DF01C7"/>
    <w:rsid w:val="00E042C0"/>
    <w:rsid w:val="00E04E05"/>
    <w:rsid w:val="00E06D60"/>
    <w:rsid w:val="00E11BAC"/>
    <w:rsid w:val="00E26242"/>
    <w:rsid w:val="00E26F74"/>
    <w:rsid w:val="00E27896"/>
    <w:rsid w:val="00E329B4"/>
    <w:rsid w:val="00E37F82"/>
    <w:rsid w:val="00E40689"/>
    <w:rsid w:val="00E5568E"/>
    <w:rsid w:val="00E712C8"/>
    <w:rsid w:val="00E71F43"/>
    <w:rsid w:val="00E774D6"/>
    <w:rsid w:val="00E774EB"/>
    <w:rsid w:val="00E8005C"/>
    <w:rsid w:val="00E82683"/>
    <w:rsid w:val="00E826A0"/>
    <w:rsid w:val="00EA4D6D"/>
    <w:rsid w:val="00EA51AA"/>
    <w:rsid w:val="00EB30BC"/>
    <w:rsid w:val="00EB7A94"/>
    <w:rsid w:val="00EB7D73"/>
    <w:rsid w:val="00EC0D9B"/>
    <w:rsid w:val="00EC33F2"/>
    <w:rsid w:val="00ED2E7D"/>
    <w:rsid w:val="00ED3F88"/>
    <w:rsid w:val="00ED65FE"/>
    <w:rsid w:val="00EE2847"/>
    <w:rsid w:val="00EE5227"/>
    <w:rsid w:val="00EE6B57"/>
    <w:rsid w:val="00EF0D35"/>
    <w:rsid w:val="00EF1C71"/>
    <w:rsid w:val="00EF291A"/>
    <w:rsid w:val="00EF403A"/>
    <w:rsid w:val="00F05363"/>
    <w:rsid w:val="00F120DD"/>
    <w:rsid w:val="00F14B26"/>
    <w:rsid w:val="00F150E5"/>
    <w:rsid w:val="00F26A79"/>
    <w:rsid w:val="00F31F35"/>
    <w:rsid w:val="00F5274F"/>
    <w:rsid w:val="00F61067"/>
    <w:rsid w:val="00F6139A"/>
    <w:rsid w:val="00F6616C"/>
    <w:rsid w:val="00F812EA"/>
    <w:rsid w:val="00FC2EBA"/>
    <w:rsid w:val="00FC5768"/>
    <w:rsid w:val="00FD7FCD"/>
    <w:rsid w:val="00FE7F91"/>
    <w:rsid w:val="00FF502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5A4B3EE"/>
  <w15:chartTrackingRefBased/>
  <w15:docId w15:val="{425B3F2F-27E9-47A5-940F-E4B8C05550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37DD6"/>
    <w:pPr>
      <w:overflowPunct w:val="0"/>
      <w:autoSpaceDE w:val="0"/>
      <w:autoSpaceDN w:val="0"/>
      <w:adjustRightInd w:val="0"/>
      <w:spacing w:after="120"/>
      <w:textAlignment w:val="baseline"/>
    </w:pPr>
    <w:rPr>
      <w:rFonts w:ascii="Arial" w:eastAsia="MS Mincho" w:hAnsi="Arial"/>
      <w:lang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eastAsia="en-US"/>
    </w:rPr>
  </w:style>
  <w:style w:type="paragraph" w:styleId="2">
    <w:name w:val="heading 2"/>
    <w:basedOn w:val="a"/>
    <w:next w:val="a"/>
    <w:qFormat/>
    <w:rsid w:val="00230764"/>
    <w:pPr>
      <w:keepNext/>
      <w:spacing w:before="120" w:after="180"/>
      <w:ind w:left="851" w:hanging="851"/>
      <w:outlineLvl w:val="1"/>
    </w:pPr>
    <w:rPr>
      <w:rFonts w:cs="Arial"/>
      <w:bCs/>
      <w:iCs/>
      <w:sz w:val="32"/>
      <w:szCs w:val="28"/>
    </w:rPr>
  </w:style>
  <w:style w:type="paragraph" w:styleId="3">
    <w:name w:val="heading 3"/>
    <w:basedOn w:val="a"/>
    <w:next w:val="a"/>
    <w:qFormat/>
    <w:rsid w:val="00230764"/>
    <w:pPr>
      <w:keepNext/>
      <w:spacing w:before="120" w:after="180"/>
      <w:ind w:left="1134" w:hanging="1134"/>
      <w:outlineLvl w:val="2"/>
    </w:pPr>
    <w:rPr>
      <w:rFonts w:cs="Arial"/>
      <w:bCs/>
      <w:sz w:val="28"/>
      <w:szCs w:val="26"/>
    </w:rPr>
  </w:style>
  <w:style w:type="paragraph" w:styleId="4">
    <w:name w:val="heading 4"/>
    <w:basedOn w:val="a"/>
    <w:next w:val="a"/>
    <w:qFormat/>
    <w:rsid w:val="00230764"/>
    <w:pPr>
      <w:keepNext/>
      <w:spacing w:before="120" w:after="180"/>
      <w:ind w:left="1418" w:hanging="1418"/>
      <w:outlineLvl w:val="3"/>
    </w:pPr>
    <w:rPr>
      <w:bCs/>
      <w:sz w:val="24"/>
      <w:szCs w:val="28"/>
    </w:rPr>
  </w:style>
  <w:style w:type="paragraph" w:styleId="5">
    <w:name w:val="heading 5"/>
    <w:basedOn w:val="a"/>
    <w:next w:val="a"/>
    <w:qFormat/>
    <w:rsid w:val="00230764"/>
    <w:pPr>
      <w:spacing w:before="120" w:after="180"/>
      <w:ind w:left="1701" w:hanging="1701"/>
      <w:outlineLvl w:val="4"/>
    </w:pPr>
    <w:rPr>
      <w:bCs/>
      <w:iCs/>
      <w:sz w:val="22"/>
      <w:szCs w:val="26"/>
    </w:rPr>
  </w:style>
  <w:style w:type="paragraph" w:styleId="6">
    <w:name w:val="heading 6"/>
    <w:basedOn w:val="a"/>
    <w:next w:val="a"/>
    <w:link w:val="60"/>
    <w:unhideWhenUsed/>
    <w:qFormat/>
    <w:rsid w:val="00AB4E41"/>
    <w:pPr>
      <w:spacing w:before="120" w:after="180"/>
      <w:ind w:left="1985" w:hanging="1985"/>
      <w:outlineLvl w:val="5"/>
    </w:pPr>
  </w:style>
  <w:style w:type="paragraph" w:styleId="7">
    <w:name w:val="heading 7"/>
    <w:basedOn w:val="a"/>
    <w:next w:val="a"/>
    <w:link w:val="70"/>
    <w:semiHidden/>
    <w:unhideWhenUsed/>
    <w:qFormat/>
    <w:rsid w:val="00A129B6"/>
    <w:pPr>
      <w:spacing w:before="240" w:after="60"/>
      <w:outlineLvl w:val="6"/>
    </w:pPr>
    <w:rPr>
      <w:rFonts w:ascii="Calibri" w:eastAsia="Times New Roman" w:hAnsi="Calibri"/>
      <w:sz w:val="24"/>
      <w:szCs w:val="24"/>
    </w:rPr>
  </w:style>
  <w:style w:type="paragraph" w:styleId="8">
    <w:name w:val="heading 8"/>
    <w:basedOn w:val="a"/>
    <w:next w:val="a"/>
    <w:link w:val="80"/>
    <w:semiHidden/>
    <w:unhideWhenUsed/>
    <w:qFormat/>
    <w:rsid w:val="00A129B6"/>
    <w:pPr>
      <w:spacing w:before="240" w:after="60"/>
      <w:outlineLvl w:val="7"/>
    </w:pPr>
    <w:rPr>
      <w:rFonts w:ascii="Calibri" w:eastAsia="Times New Roman" w:hAnsi="Calibri"/>
      <w:i/>
      <w:iCs/>
      <w:sz w:val="24"/>
      <w:szCs w:val="24"/>
    </w:rPr>
  </w:style>
  <w:style w:type="paragraph" w:styleId="9">
    <w:name w:val="heading 9"/>
    <w:basedOn w:val="a"/>
    <w:next w:val="a"/>
    <w:link w:val="90"/>
    <w:semiHidden/>
    <w:unhideWhenUsed/>
    <w:qFormat/>
    <w:rsid w:val="00A129B6"/>
    <w:pPr>
      <w:spacing w:before="240" w:after="60"/>
      <w:outlineLvl w:val="8"/>
    </w:pPr>
    <w:rPr>
      <w:rFonts w:ascii="Calibri Light" w:eastAsia="Times New Roman" w:hAnsi="Calibri Light"/>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pPr>
      <w:widowControl w:val="0"/>
      <w:overflowPunct w:val="0"/>
      <w:autoSpaceDE w:val="0"/>
      <w:autoSpaceDN w:val="0"/>
      <w:adjustRightInd w:val="0"/>
      <w:textAlignment w:val="baseline"/>
    </w:pPr>
    <w:rPr>
      <w:rFonts w:ascii="Arial" w:eastAsia="MS Mincho" w:hAnsi="Arial"/>
      <w:b/>
      <w:noProof/>
      <w:sz w:val="18"/>
      <w:lang w:val="en-US" w:eastAsia="en-US"/>
    </w:rPr>
  </w:style>
  <w:style w:type="paragraph" w:customStyle="1" w:styleId="CRCoverPage">
    <w:name w:val="CR Cover Page"/>
    <w:pPr>
      <w:spacing w:after="120"/>
    </w:pPr>
    <w:rPr>
      <w:rFonts w:ascii="Arial" w:eastAsia="MS Mincho" w:hAnsi="Arial"/>
      <w:lang w:eastAsia="en-US"/>
    </w:rPr>
  </w:style>
  <w:style w:type="paragraph" w:customStyle="1" w:styleId="B1">
    <w:name w:val="B1"/>
    <w:basedOn w:val="a5"/>
    <w:link w:val="B1Char1"/>
    <w:qFormat/>
    <w:pPr>
      <w:spacing w:after="180"/>
      <w:ind w:left="568" w:hanging="284"/>
    </w:pPr>
  </w:style>
  <w:style w:type="paragraph" w:customStyle="1" w:styleId="B2">
    <w:name w:val="B2"/>
    <w:basedOn w:val="20"/>
    <w:pPr>
      <w:spacing w:after="180"/>
      <w:ind w:left="851" w:hanging="284"/>
    </w:pPr>
  </w:style>
  <w:style w:type="paragraph" w:customStyle="1" w:styleId="B3">
    <w:name w:val="B3"/>
    <w:basedOn w:val="30"/>
    <w:pPr>
      <w:spacing w:after="180"/>
      <w:ind w:left="1135" w:hanging="284"/>
    </w:pPr>
  </w:style>
  <w:style w:type="paragraph" w:customStyle="1" w:styleId="B5">
    <w:name w:val="B5"/>
    <w:basedOn w:val="50"/>
    <w:pPr>
      <w:spacing w:after="180"/>
      <w:ind w:left="1702" w:hanging="284"/>
    </w:pPr>
  </w:style>
  <w:style w:type="character" w:customStyle="1" w:styleId="B1Char1">
    <w:name w:val="B1 Char1"/>
    <w:link w:val="B1"/>
    <w:rPr>
      <w:rFonts w:eastAsia="MS Mincho"/>
      <w:lang w:val="en-GB" w:eastAsia="en-US" w:bidi="ar-SA"/>
    </w:rPr>
  </w:style>
  <w:style w:type="paragraph" w:customStyle="1" w:styleId="B0">
    <w:name w:val="B0"/>
    <w:basedOn w:val="B1"/>
    <w:pPr>
      <w:ind w:left="284"/>
    </w:pPr>
    <w:rPr>
      <w:lang w:eastAsia="ja-JP"/>
    </w:rPr>
  </w:style>
  <w:style w:type="paragraph" w:styleId="a5">
    <w:name w:val="List"/>
    <w:basedOn w:val="a"/>
    <w:pPr>
      <w:ind w:left="283" w:hanging="283"/>
    </w:pPr>
  </w:style>
  <w:style w:type="paragraph" w:styleId="20">
    <w:name w:val="List 2"/>
    <w:basedOn w:val="a"/>
    <w:pPr>
      <w:ind w:left="566" w:hanging="283"/>
    </w:pPr>
  </w:style>
  <w:style w:type="paragraph" w:styleId="30">
    <w:name w:val="List 3"/>
    <w:basedOn w:val="a"/>
    <w:pPr>
      <w:ind w:left="849" w:hanging="283"/>
    </w:pPr>
  </w:style>
  <w:style w:type="paragraph" w:styleId="50">
    <w:name w:val="List 5"/>
    <w:basedOn w:val="a"/>
    <w:pPr>
      <w:ind w:left="1415" w:hanging="283"/>
    </w:pPr>
  </w:style>
  <w:style w:type="paragraph" w:customStyle="1" w:styleId="NO">
    <w:name w:val="NO"/>
    <w:basedOn w:val="a"/>
    <w:pPr>
      <w:keepLines/>
      <w:spacing w:after="180"/>
      <w:ind w:left="1135" w:hanging="851"/>
    </w:pPr>
  </w:style>
  <w:style w:type="paragraph" w:customStyle="1" w:styleId="TF">
    <w:name w:val="TF"/>
    <w:basedOn w:val="TH"/>
    <w:pPr>
      <w:keepNext w:val="0"/>
      <w:spacing w:before="0" w:after="240"/>
    </w:pPr>
  </w:style>
  <w:style w:type="paragraph" w:customStyle="1" w:styleId="TH">
    <w:name w:val="TH"/>
    <w:basedOn w:val="a"/>
    <w:link w:val="THChar"/>
    <w:qFormat/>
    <w:pPr>
      <w:keepNext/>
      <w:keepLines/>
      <w:spacing w:before="60" w:after="180"/>
      <w:jc w:val="center"/>
    </w:pPr>
    <w:rPr>
      <w:b/>
    </w:rPr>
  </w:style>
  <w:style w:type="paragraph" w:customStyle="1" w:styleId="Reference">
    <w:name w:val="Reference"/>
    <w:basedOn w:val="a"/>
    <w:pPr>
      <w:ind w:left="709" w:hanging="709"/>
    </w:pPr>
    <w:rPr>
      <w:lang w:eastAsia="ja-JP"/>
    </w:rPr>
  </w:style>
  <w:style w:type="paragraph" w:styleId="a6">
    <w:name w:val="footer"/>
    <w:basedOn w:val="a"/>
    <w:pPr>
      <w:tabs>
        <w:tab w:val="center" w:pos="4320"/>
        <w:tab w:val="right" w:pos="8640"/>
      </w:tabs>
    </w:pPr>
  </w:style>
  <w:style w:type="character" w:styleId="a7">
    <w:name w:val="page number"/>
    <w:basedOn w:val="a0"/>
  </w:style>
  <w:style w:type="character" w:styleId="a8">
    <w:name w:val="Hyperlink"/>
    <w:uiPriority w:val="99"/>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60">
    <w:name w:val="标题 6 字符"/>
    <w:link w:val="6"/>
    <w:rsid w:val="00AB4E41"/>
    <w:rPr>
      <w:rFonts w:ascii="Arial" w:eastAsia="MS Mincho" w:hAnsi="Arial"/>
      <w:lang w:eastAsia="en-US"/>
    </w:rPr>
  </w:style>
  <w:style w:type="paragraph" w:customStyle="1" w:styleId="Head6">
    <w:name w:val="Head 6"/>
    <w:basedOn w:val="a"/>
    <w:next w:val="a"/>
    <w:rsid w:val="00AB4E41"/>
    <w:pPr>
      <w:spacing w:before="120" w:after="180"/>
      <w:ind w:left="1985" w:hanging="1985"/>
    </w:pPr>
    <w:rPr>
      <w:rFonts w:eastAsia="Times New Roman"/>
    </w:rPr>
  </w:style>
  <w:style w:type="paragraph" w:customStyle="1" w:styleId="Proposal">
    <w:name w:val="Proposal"/>
    <w:basedOn w:val="a"/>
    <w:rsid w:val="001601A9"/>
    <w:pPr>
      <w:numPr>
        <w:numId w:val="1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1601A9"/>
    <w:pPr>
      <w:numPr>
        <w:numId w:val="12"/>
      </w:numPr>
      <w:ind w:left="1701" w:hanging="1701"/>
    </w:pPr>
  </w:style>
  <w:style w:type="paragraph" w:styleId="TOC1">
    <w:name w:val="toc 1"/>
    <w:aliases w:val="Observation TOC2"/>
    <w:uiPriority w:val="39"/>
    <w:rsid w:val="00F120DD"/>
    <w:pPr>
      <w:keepNext/>
      <w:keepLines/>
      <w:widowControl w:val="0"/>
      <w:spacing w:before="120"/>
    </w:pPr>
    <w:rPr>
      <w:rFonts w:ascii="Arial" w:eastAsia="Times New Roman" w:hAnsi="Arial"/>
      <w:bCs/>
      <w:noProof/>
      <w:szCs w:val="22"/>
      <w:lang w:val="en-US" w:eastAsia="zh-CN"/>
    </w:rPr>
  </w:style>
  <w:style w:type="paragraph" w:customStyle="1" w:styleId="EditorsNote">
    <w:name w:val="Editor's Note"/>
    <w:aliases w:val="EN"/>
    <w:basedOn w:val="NO"/>
    <w:link w:val="EditorsNoteChar"/>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a9">
    <w:name w:val="Body Text"/>
    <w:basedOn w:val="a"/>
    <w:link w:val="aa"/>
    <w:rsid w:val="002300C6"/>
    <w:pPr>
      <w:jc w:val="both"/>
    </w:pPr>
    <w:rPr>
      <w:rFonts w:eastAsia="Times New Roman"/>
      <w:lang w:eastAsia="zh-CN"/>
    </w:rPr>
  </w:style>
  <w:style w:type="character" w:customStyle="1" w:styleId="aa">
    <w:name w:val="正文文本 字符"/>
    <w:link w:val="a9"/>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a"/>
    <w:link w:val="TALChar"/>
    <w:qFormat/>
    <w:rsid w:val="006A693D"/>
    <w:pPr>
      <w:keepNext/>
      <w:keepLines/>
      <w:overflowPunct/>
      <w:autoSpaceDE/>
      <w:autoSpaceDN/>
      <w:adjustRightInd/>
      <w:spacing w:after="0"/>
      <w:textAlignment w:val="auto"/>
    </w:pPr>
    <w:rPr>
      <w:rFonts w:eastAsia="Times New Roman"/>
      <w:sz w:val="18"/>
    </w:rPr>
  </w:style>
  <w:style w:type="character" w:customStyle="1" w:styleId="TALChar">
    <w:name w:val="TAL Char"/>
    <w:link w:val="TAL"/>
    <w:rsid w:val="006A693D"/>
    <w:rPr>
      <w:rFonts w:ascii="Arial" w:hAnsi="Arial"/>
      <w:sz w:val="18"/>
      <w:lang w:eastAsia="en-US"/>
    </w:rPr>
  </w:style>
  <w:style w:type="character" w:customStyle="1" w:styleId="TACChar">
    <w:name w:val="TAC Char"/>
    <w:link w:val="TAC"/>
    <w:rsid w:val="006A693D"/>
  </w:style>
  <w:style w:type="character" w:customStyle="1" w:styleId="TAHChar">
    <w:name w:val="TAH Char"/>
    <w:link w:val="TAH"/>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a4">
    <w:name w:val="页眉 字符"/>
    <w:aliases w:val="header odd 字符"/>
    <w:link w:val="a3"/>
    <w:rsid w:val="008B0AF2"/>
    <w:rPr>
      <w:rFonts w:ascii="Arial" w:eastAsia="MS Mincho" w:hAnsi="Arial"/>
      <w:b/>
      <w:noProof/>
      <w:sz w:val="18"/>
      <w:lang w:val="en-US" w:eastAsia="en-US"/>
    </w:rPr>
  </w:style>
  <w:style w:type="paragraph" w:customStyle="1" w:styleId="Conclusion">
    <w:name w:val="Conclusion"/>
    <w:basedOn w:val="a"/>
    <w:rsid w:val="00383916"/>
    <w:pPr>
      <w:ind w:left="1701" w:hanging="1701"/>
    </w:pPr>
    <w:rPr>
      <w:b/>
    </w:rPr>
  </w:style>
  <w:style w:type="paragraph" w:styleId="TOC">
    <w:name w:val="TOC Heading"/>
    <w:basedOn w:val="1"/>
    <w:next w:val="a"/>
    <w:uiPriority w:val="39"/>
    <w:unhideWhenUsed/>
    <w:qFormat/>
    <w:rsid w:val="0001024C"/>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styleId="TOC2">
    <w:name w:val="toc 2"/>
    <w:basedOn w:val="a"/>
    <w:next w:val="a"/>
    <w:autoRedefine/>
    <w:uiPriority w:val="39"/>
    <w:unhideWhenUsed/>
    <w:rsid w:val="0001024C"/>
    <w:pPr>
      <w:overflowPunct/>
      <w:autoSpaceDE/>
      <w:autoSpaceDN/>
      <w:adjustRightInd/>
      <w:spacing w:after="100" w:line="259" w:lineRule="auto"/>
      <w:ind w:left="220"/>
      <w:textAlignment w:val="auto"/>
    </w:pPr>
    <w:rPr>
      <w:rFonts w:ascii="Calibri" w:eastAsia="Times New Roman" w:hAnsi="Calibri"/>
      <w:sz w:val="22"/>
      <w:szCs w:val="22"/>
      <w:lang w:val="en-US"/>
    </w:rPr>
  </w:style>
  <w:style w:type="paragraph" w:styleId="TOC3">
    <w:name w:val="toc 3"/>
    <w:basedOn w:val="a"/>
    <w:next w:val="a"/>
    <w:autoRedefine/>
    <w:uiPriority w:val="39"/>
    <w:unhideWhenUsed/>
    <w:rsid w:val="0001024C"/>
    <w:pPr>
      <w:overflowPunct/>
      <w:autoSpaceDE/>
      <w:autoSpaceDN/>
      <w:adjustRightInd/>
      <w:spacing w:after="100" w:line="259" w:lineRule="auto"/>
      <w:ind w:left="440"/>
      <w:textAlignment w:val="auto"/>
    </w:pPr>
    <w:rPr>
      <w:rFonts w:ascii="Calibri" w:eastAsia="Times New Roman" w:hAnsi="Calibri"/>
      <w:sz w:val="22"/>
      <w:szCs w:val="22"/>
      <w:lang w:val="en-US"/>
    </w:rPr>
  </w:style>
  <w:style w:type="character" w:customStyle="1" w:styleId="90">
    <w:name w:val="标题 9 字符"/>
    <w:link w:val="9"/>
    <w:semiHidden/>
    <w:rsid w:val="00A129B6"/>
    <w:rPr>
      <w:rFonts w:ascii="Calibri Light" w:eastAsia="Times New Roman" w:hAnsi="Calibri Light" w:cs="Times New Roman"/>
      <w:sz w:val="22"/>
      <w:szCs w:val="22"/>
      <w:lang w:val="en-GB"/>
    </w:rPr>
  </w:style>
  <w:style w:type="character" w:customStyle="1" w:styleId="80">
    <w:name w:val="标题 8 字符"/>
    <w:link w:val="8"/>
    <w:semiHidden/>
    <w:rsid w:val="00A129B6"/>
    <w:rPr>
      <w:rFonts w:ascii="Calibri" w:eastAsia="Times New Roman" w:hAnsi="Calibri" w:cs="Times New Roman"/>
      <w:i/>
      <w:iCs/>
      <w:sz w:val="24"/>
      <w:szCs w:val="24"/>
      <w:lang w:val="en-GB"/>
    </w:rPr>
  </w:style>
  <w:style w:type="character" w:customStyle="1" w:styleId="70">
    <w:name w:val="标题 7 字符"/>
    <w:link w:val="7"/>
    <w:semiHidden/>
    <w:rsid w:val="00A129B6"/>
    <w:rPr>
      <w:rFonts w:ascii="Calibri" w:eastAsia="Times New Roman" w:hAnsi="Calibri" w:cs="Times New Roman"/>
      <w:sz w:val="24"/>
      <w:szCs w:val="24"/>
      <w:lang w:val="en-GB"/>
    </w:rPr>
  </w:style>
  <w:style w:type="character" w:customStyle="1" w:styleId="THChar">
    <w:name w:val="TH Char"/>
    <w:link w:val="TH"/>
    <w:qFormat/>
    <w:rsid w:val="00FF502F"/>
    <w:rPr>
      <w:rFonts w:ascii="Arial" w:eastAsia="MS Mincho" w:hAnsi="Arial"/>
      <w:b/>
      <w:lang w:eastAsia="en-US"/>
    </w:rPr>
  </w:style>
  <w:style w:type="character" w:customStyle="1" w:styleId="PLChar">
    <w:name w:val="PL Char"/>
    <w:link w:val="PL"/>
    <w:qFormat/>
    <w:rsid w:val="00FF502F"/>
    <w:rPr>
      <w:rFonts w:ascii="Courier New" w:hAnsi="Courier New"/>
      <w:sz w:val="16"/>
      <w:lang w:val="en-US" w:eastAsia="en-US"/>
    </w:rPr>
  </w:style>
  <w:style w:type="paragraph" w:customStyle="1" w:styleId="PL">
    <w:name w:val="PL"/>
    <w:link w:val="PLChar"/>
    <w:qFormat/>
    <w:rsid w:val="00FF50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US" w:eastAsia="en-US"/>
    </w:rPr>
  </w:style>
  <w:style w:type="paragraph" w:customStyle="1" w:styleId="Eyecatcher">
    <w:name w:val="Eyecatcher"/>
    <w:basedOn w:val="a"/>
    <w:rsid w:val="00237F7C"/>
    <w:pPr>
      <w:overflowPunct/>
      <w:autoSpaceDE/>
      <w:autoSpaceDN/>
      <w:adjustRightInd/>
      <w:spacing w:after="180"/>
      <w:ind w:left="1418" w:hanging="1418"/>
      <w:textAlignment w:val="auto"/>
    </w:pPr>
    <w:rPr>
      <w:rFonts w:eastAsia="Times New Roman" w:cs="Arial"/>
      <w:b/>
    </w:rPr>
  </w:style>
  <w:style w:type="paragraph" w:styleId="ab">
    <w:name w:val="Normal (Web)"/>
    <w:basedOn w:val="a"/>
    <w:uiPriority w:val="99"/>
    <w:unhideWhenUsed/>
    <w:rsid w:val="009B0AF3"/>
    <w:pPr>
      <w:overflowPunct/>
      <w:autoSpaceDE/>
      <w:autoSpaceDN/>
      <w:adjustRightInd/>
      <w:spacing w:before="100" w:beforeAutospacing="1" w:after="100" w:afterAutospacing="1"/>
      <w:textAlignment w:val="auto"/>
    </w:pPr>
    <w:rPr>
      <w:rFonts w:ascii="Times New Roman" w:eastAsia="Times New Roman" w:hAnsi="Times New Roman"/>
      <w:sz w:val="24"/>
      <w:szCs w:val="24"/>
      <w:lang w:eastAsia="en-GB"/>
    </w:rPr>
  </w:style>
  <w:style w:type="character" w:styleId="ac">
    <w:name w:val="Emphasis"/>
    <w:basedOn w:val="a0"/>
    <w:uiPriority w:val="20"/>
    <w:qFormat/>
    <w:rsid w:val="009B0AF3"/>
    <w:rPr>
      <w:i/>
      <w:iCs/>
    </w:rPr>
  </w:style>
  <w:style w:type="character" w:styleId="ad">
    <w:name w:val="annotation reference"/>
    <w:basedOn w:val="a0"/>
    <w:rsid w:val="00965584"/>
    <w:rPr>
      <w:sz w:val="16"/>
      <w:szCs w:val="16"/>
    </w:rPr>
  </w:style>
  <w:style w:type="paragraph" w:styleId="ae">
    <w:name w:val="annotation text"/>
    <w:basedOn w:val="a"/>
    <w:link w:val="af"/>
    <w:rsid w:val="00965584"/>
  </w:style>
  <w:style w:type="character" w:customStyle="1" w:styleId="af">
    <w:name w:val="批注文字 字符"/>
    <w:basedOn w:val="a0"/>
    <w:link w:val="ae"/>
    <w:rsid w:val="00965584"/>
    <w:rPr>
      <w:rFonts w:ascii="Arial" w:eastAsia="MS Mincho" w:hAnsi="Arial"/>
      <w:lang w:eastAsia="en-US"/>
    </w:rPr>
  </w:style>
  <w:style w:type="paragraph" w:styleId="af0">
    <w:name w:val="annotation subject"/>
    <w:basedOn w:val="ae"/>
    <w:next w:val="ae"/>
    <w:link w:val="af1"/>
    <w:rsid w:val="00965584"/>
    <w:rPr>
      <w:b/>
      <w:bCs/>
    </w:rPr>
  </w:style>
  <w:style w:type="character" w:customStyle="1" w:styleId="af1">
    <w:name w:val="批注主题 字符"/>
    <w:basedOn w:val="af"/>
    <w:link w:val="af0"/>
    <w:rsid w:val="00965584"/>
    <w:rPr>
      <w:rFonts w:ascii="Arial" w:eastAsia="MS Mincho" w:hAnsi="Arial"/>
      <w:b/>
      <w:bCs/>
      <w:lang w:eastAsia="en-US"/>
    </w:rPr>
  </w:style>
  <w:style w:type="paragraph" w:styleId="af2">
    <w:name w:val="List Paragraph"/>
    <w:basedOn w:val="a"/>
    <w:link w:val="af3"/>
    <w:uiPriority w:val="34"/>
    <w:qFormat/>
    <w:rsid w:val="00F120DD"/>
    <w:pPr>
      <w:ind w:firstLineChars="200" w:firstLine="420"/>
    </w:pPr>
  </w:style>
  <w:style w:type="paragraph" w:customStyle="1" w:styleId="ProposalStyle">
    <w:name w:val="ProposalStyle"/>
    <w:basedOn w:val="af2"/>
    <w:link w:val="ProposalStyle0"/>
    <w:qFormat/>
    <w:rsid w:val="00786414"/>
    <w:pPr>
      <w:numPr>
        <w:numId w:val="15"/>
      </w:numPr>
      <w:ind w:left="992" w:hangingChars="496" w:hanging="992"/>
    </w:pPr>
    <w:rPr>
      <w:rFonts w:asciiTheme="minorHAnsi" w:eastAsiaTheme="minorEastAsia" w:hAnsiTheme="minorHAnsi" w:cstheme="minorHAnsi"/>
      <w:b/>
      <w:lang w:eastAsia="zh-CN"/>
    </w:rPr>
  </w:style>
  <w:style w:type="paragraph" w:customStyle="1" w:styleId="ObservationStyle">
    <w:name w:val="ObservationStyle"/>
    <w:basedOn w:val="TOC1"/>
    <w:link w:val="ObservationStyle0"/>
    <w:qFormat/>
    <w:rsid w:val="00786414"/>
    <w:pPr>
      <w:numPr>
        <w:numId w:val="18"/>
      </w:numPr>
      <w:ind w:left="1276" w:rightChars="-46" w:right="-92" w:hanging="1276"/>
    </w:pPr>
    <w:rPr>
      <w:rFonts w:ascii="Calibri" w:eastAsiaTheme="minorEastAsia" w:hAnsi="Calibri"/>
      <w:b/>
    </w:rPr>
  </w:style>
  <w:style w:type="character" w:customStyle="1" w:styleId="af3">
    <w:name w:val="列表段落 字符"/>
    <w:basedOn w:val="a0"/>
    <w:link w:val="af2"/>
    <w:uiPriority w:val="34"/>
    <w:qFormat/>
    <w:rsid w:val="00F120DD"/>
    <w:rPr>
      <w:rFonts w:ascii="Arial" w:eastAsia="MS Mincho" w:hAnsi="Arial"/>
      <w:lang w:eastAsia="en-US"/>
    </w:rPr>
  </w:style>
  <w:style w:type="character" w:customStyle="1" w:styleId="ProposalStyle0">
    <w:name w:val="ProposalStyle 字符"/>
    <w:basedOn w:val="af3"/>
    <w:link w:val="ProposalStyle"/>
    <w:rsid w:val="00786414"/>
    <w:rPr>
      <w:rFonts w:asciiTheme="minorHAnsi" w:eastAsia="MS Mincho" w:hAnsiTheme="minorHAnsi" w:cstheme="minorHAnsi"/>
      <w:b/>
      <w:lang w:eastAsia="zh-CN"/>
    </w:rPr>
  </w:style>
  <w:style w:type="table" w:styleId="af4">
    <w:name w:val="Table Grid"/>
    <w:basedOn w:val="a1"/>
    <w:qFormat/>
    <w:rsid w:val="007D02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bservationStyle0">
    <w:name w:val="ObservationStyle 字符"/>
    <w:basedOn w:val="af3"/>
    <w:link w:val="ObservationStyle"/>
    <w:rsid w:val="00786414"/>
    <w:rPr>
      <w:rFonts w:ascii="Calibri" w:eastAsia="MS Mincho" w:hAnsi="Calibri"/>
      <w:b/>
      <w:bCs/>
      <w:noProof/>
      <w:szCs w:val="22"/>
      <w:lang w:val="en-US" w:eastAsia="zh-CN"/>
    </w:rPr>
  </w:style>
  <w:style w:type="paragraph" w:customStyle="1" w:styleId="10">
    <w:name w:val="列出段落1"/>
    <w:basedOn w:val="a"/>
    <w:rsid w:val="007F3E85"/>
    <w:pPr>
      <w:overflowPunct/>
      <w:autoSpaceDE/>
      <w:autoSpaceDN/>
      <w:adjustRightInd/>
      <w:spacing w:before="100" w:beforeAutospacing="1" w:after="180"/>
      <w:ind w:left="720"/>
      <w:contextualSpacing/>
      <w:textAlignment w:val="auto"/>
    </w:pPr>
    <w:rPr>
      <w:rFonts w:ascii="Times New Roman" w:eastAsia="宋体" w:hAnsi="Times New Roman"/>
      <w:sz w:val="24"/>
      <w:szCs w:val="24"/>
      <w:lang w:val="en-US" w:eastAsia="zh-CN"/>
    </w:rPr>
  </w:style>
  <w:style w:type="paragraph" w:customStyle="1" w:styleId="21">
    <w:name w:val="列出段落2"/>
    <w:basedOn w:val="a"/>
    <w:rsid w:val="00B54A37"/>
    <w:pPr>
      <w:overflowPunct/>
      <w:autoSpaceDE/>
      <w:autoSpaceDN/>
      <w:adjustRightInd/>
      <w:spacing w:before="100" w:beforeAutospacing="1" w:after="180"/>
      <w:ind w:left="720"/>
      <w:contextualSpacing/>
      <w:textAlignment w:val="auto"/>
    </w:pPr>
    <w:rPr>
      <w:rFonts w:ascii="Times New Roman" w:eastAsia="宋体" w:hAnsi="Times New Roman"/>
      <w:sz w:val="24"/>
      <w:szCs w:val="24"/>
      <w:lang w:val="en-US" w:eastAsia="zh-CN"/>
    </w:rPr>
  </w:style>
  <w:style w:type="paragraph" w:customStyle="1" w:styleId="31">
    <w:name w:val="列出段落3"/>
    <w:basedOn w:val="a"/>
    <w:rsid w:val="002B0CFE"/>
    <w:pPr>
      <w:overflowPunct/>
      <w:autoSpaceDE/>
      <w:autoSpaceDN/>
      <w:adjustRightInd/>
      <w:spacing w:before="100" w:beforeAutospacing="1" w:after="180"/>
      <w:ind w:left="720"/>
      <w:contextualSpacing/>
      <w:textAlignment w:val="auto"/>
    </w:pPr>
    <w:rPr>
      <w:rFonts w:ascii="Times New Roman" w:eastAsia="宋体"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319719">
      <w:bodyDiv w:val="1"/>
      <w:marLeft w:val="0"/>
      <w:marRight w:val="0"/>
      <w:marTop w:val="0"/>
      <w:marBottom w:val="0"/>
      <w:divBdr>
        <w:top w:val="none" w:sz="0" w:space="0" w:color="auto"/>
        <w:left w:val="none" w:sz="0" w:space="0" w:color="auto"/>
        <w:bottom w:val="none" w:sz="0" w:space="0" w:color="auto"/>
        <w:right w:val="none" w:sz="0" w:space="0" w:color="auto"/>
      </w:divBdr>
    </w:div>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 w:id="751702716">
      <w:bodyDiv w:val="1"/>
      <w:marLeft w:val="0"/>
      <w:marRight w:val="0"/>
      <w:marTop w:val="0"/>
      <w:marBottom w:val="0"/>
      <w:divBdr>
        <w:top w:val="none" w:sz="0" w:space="0" w:color="auto"/>
        <w:left w:val="none" w:sz="0" w:space="0" w:color="auto"/>
        <w:bottom w:val="none" w:sz="0" w:space="0" w:color="auto"/>
        <w:right w:val="none" w:sz="0" w:space="0" w:color="auto"/>
      </w:divBdr>
    </w:div>
    <w:div w:id="830486729">
      <w:bodyDiv w:val="1"/>
      <w:marLeft w:val="0"/>
      <w:marRight w:val="0"/>
      <w:marTop w:val="0"/>
      <w:marBottom w:val="0"/>
      <w:divBdr>
        <w:top w:val="none" w:sz="0" w:space="0" w:color="auto"/>
        <w:left w:val="none" w:sz="0" w:space="0" w:color="auto"/>
        <w:bottom w:val="none" w:sz="0" w:space="0" w:color="auto"/>
        <w:right w:val="none" w:sz="0" w:space="0" w:color="auto"/>
      </w:divBdr>
    </w:div>
    <w:div w:id="832186012">
      <w:bodyDiv w:val="1"/>
      <w:marLeft w:val="0"/>
      <w:marRight w:val="0"/>
      <w:marTop w:val="0"/>
      <w:marBottom w:val="0"/>
      <w:divBdr>
        <w:top w:val="none" w:sz="0" w:space="0" w:color="auto"/>
        <w:left w:val="none" w:sz="0" w:space="0" w:color="auto"/>
        <w:bottom w:val="none" w:sz="0" w:space="0" w:color="auto"/>
        <w:right w:val="none" w:sz="0" w:space="0" w:color="auto"/>
      </w:divBdr>
    </w:div>
    <w:div w:id="943877206">
      <w:bodyDiv w:val="1"/>
      <w:marLeft w:val="0"/>
      <w:marRight w:val="0"/>
      <w:marTop w:val="0"/>
      <w:marBottom w:val="0"/>
      <w:divBdr>
        <w:top w:val="none" w:sz="0" w:space="0" w:color="auto"/>
        <w:left w:val="none" w:sz="0" w:space="0" w:color="auto"/>
        <w:bottom w:val="none" w:sz="0" w:space="0" w:color="auto"/>
        <w:right w:val="none" w:sz="0" w:space="0" w:color="auto"/>
      </w:divBdr>
    </w:div>
    <w:div w:id="1586911393">
      <w:bodyDiv w:val="1"/>
      <w:marLeft w:val="0"/>
      <w:marRight w:val="0"/>
      <w:marTop w:val="0"/>
      <w:marBottom w:val="0"/>
      <w:divBdr>
        <w:top w:val="none" w:sz="0" w:space="0" w:color="auto"/>
        <w:left w:val="none" w:sz="0" w:space="0" w:color="auto"/>
        <w:bottom w:val="none" w:sz="0" w:space="0" w:color="auto"/>
        <w:right w:val="none" w:sz="0" w:space="0" w:color="auto"/>
      </w:divBdr>
    </w:div>
    <w:div w:id="1644920409">
      <w:bodyDiv w:val="1"/>
      <w:marLeft w:val="0"/>
      <w:marRight w:val="0"/>
      <w:marTop w:val="0"/>
      <w:marBottom w:val="0"/>
      <w:divBdr>
        <w:top w:val="none" w:sz="0" w:space="0" w:color="auto"/>
        <w:left w:val="none" w:sz="0" w:space="0" w:color="auto"/>
        <w:bottom w:val="none" w:sz="0" w:space="0" w:color="auto"/>
        <w:right w:val="none" w:sz="0" w:space="0" w:color="auto"/>
      </w:divBdr>
    </w:div>
    <w:div w:id="2078938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shimsseo\RAN3\RAN3_119-bis-e_0417-0426\Post-Result\Inbox\R3-231585.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AD09F93E7D1C44EBB77256850B1A815" ma:contentTypeVersion="0" ma:contentTypeDescription="Create a new document." ma:contentTypeScope="" ma:versionID="4a0bae4f6d43fdf0851c526bfff8110f">
  <xsd:schema xmlns:xsd="http://www.w3.org/2001/XMLSchema" xmlns:xs="http://www.w3.org/2001/XMLSchema" xmlns:p="http://schemas.microsoft.com/office/2006/metadata/properties" targetNamespace="http://schemas.microsoft.com/office/2006/metadata/properties" ma:root="true" ma:fieldsID="e36ddcb2796d5d437c583d04c85b061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699364-8526-4815-BDD7-B80E0C29D9E9}">
  <ds:schemaRefs>
    <ds:schemaRef ds:uri="http://schemas.microsoft.com/sharepoint/v3/contenttype/forms"/>
  </ds:schemaRefs>
</ds:datastoreItem>
</file>

<file path=customXml/itemProps2.xml><?xml version="1.0" encoding="utf-8"?>
<ds:datastoreItem xmlns:ds="http://schemas.openxmlformats.org/officeDocument/2006/customXml" ds:itemID="{2BB559FE-B7D6-497E-AB13-516D03A4EAD4}">
  <ds:schemaRef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www.w3.org/XML/1998/namespace"/>
  </ds:schemaRefs>
</ds:datastoreItem>
</file>

<file path=customXml/itemProps3.xml><?xml version="1.0" encoding="utf-8"?>
<ds:datastoreItem xmlns:ds="http://schemas.openxmlformats.org/officeDocument/2006/customXml" ds:itemID="{C98BF8D2-6F0B-4603-9998-35BBA5E41F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2558839-0214-4CD6-B73A-48B591FD0F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1158</Words>
  <Characters>5794</Characters>
  <Application>Microsoft Office Word</Application>
  <DocSecurity>0</DocSecurity>
  <Lines>48</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RAN WG3 Meeting no 118</vt:lpstr>
      <vt:lpstr>3GPP TSG-RAN WG3 Meeting #60</vt:lpstr>
    </vt:vector>
  </TitlesOfParts>
  <Company>NEC</Company>
  <LinksUpToDate>false</LinksUpToDate>
  <CharactersWithSpaces>6939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 WG3 Meeting</dc:title>
  <dc:subject/>
  <dc:creator>NEC(Boyuan)</dc:creator>
  <cp:keywords/>
  <cp:lastModifiedBy>NEC(Boyuan)</cp:lastModifiedBy>
  <cp:revision>4</cp:revision>
  <dcterms:created xsi:type="dcterms:W3CDTF">2023-05-11T23:19:00Z</dcterms:created>
  <dcterms:modified xsi:type="dcterms:W3CDTF">2023-05-11T23:20:00Z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0x0101007AD09F93E7D1C44EBB77256850B1A815</vt:lpwstr>
  </property>
  <property fmtid="{D5CDD505-2E9C-101B-9397-08002B2CF9AE}" pid="3" name="MediaServiceImageTags">
    <vt:lpwstr/>
  </property>
</Properties>
</file>